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3BDC0C0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20</w:t>
      </w:r>
      <w:r w:rsidRPr="00B266B0">
        <w:rPr>
          <w:bCs/>
          <w:noProof w:val="0"/>
          <w:sz w:val="24"/>
          <w:szCs w:val="24"/>
        </w:rPr>
        <w:tab/>
      </w:r>
      <w:r w:rsidR="009932BF" w:rsidRPr="009932BF">
        <w:rPr>
          <w:bCs/>
          <w:noProof w:val="0"/>
          <w:sz w:val="24"/>
          <w:szCs w:val="24"/>
        </w:rPr>
        <w:t>R2-22</w:t>
      </w:r>
      <w:r w:rsidR="000A5750">
        <w:rPr>
          <w:bCs/>
          <w:noProof w:val="0"/>
          <w:sz w:val="24"/>
          <w:szCs w:val="24"/>
        </w:rPr>
        <w:t>1</w:t>
      </w:r>
      <w:r w:rsidR="00B51B95">
        <w:rPr>
          <w:bCs/>
          <w:noProof w:val="0"/>
          <w:sz w:val="24"/>
          <w:szCs w:val="24"/>
        </w:rPr>
        <w:t>2448</w:t>
      </w:r>
    </w:p>
    <w:p w14:paraId="11776FA6" w14:textId="54E9ED47" w:rsidR="00A209D6" w:rsidRPr="00465587" w:rsidRDefault="00D51F0F" w:rsidP="00A209D6">
      <w:pPr>
        <w:pStyle w:val="Header"/>
        <w:tabs>
          <w:tab w:val="right" w:pos="9639"/>
        </w:tabs>
        <w:rPr>
          <w:bCs/>
          <w:sz w:val="24"/>
          <w:szCs w:val="24"/>
          <w:lang w:eastAsia="zh-CN"/>
        </w:rPr>
      </w:pPr>
      <w:r>
        <w:rPr>
          <w:bCs/>
          <w:noProof w:val="0"/>
          <w:sz w:val="24"/>
          <w:szCs w:val="24"/>
        </w:rPr>
        <w:t>Toulouse</w:t>
      </w:r>
      <w:r w:rsidR="006574C0" w:rsidRPr="006574C0">
        <w:rPr>
          <w:bCs/>
          <w:sz w:val="24"/>
          <w:szCs w:val="24"/>
          <w:lang w:eastAsia="zh-CN"/>
        </w:rPr>
        <w:t>,</w:t>
      </w:r>
      <w:r>
        <w:rPr>
          <w:bCs/>
          <w:sz w:val="24"/>
          <w:szCs w:val="24"/>
          <w:lang w:eastAsia="zh-CN"/>
        </w:rPr>
        <w:t xml:space="preserve"> France,</w:t>
      </w:r>
      <w:r w:rsidR="006574C0" w:rsidRPr="006574C0">
        <w:rPr>
          <w:bCs/>
          <w:sz w:val="24"/>
          <w:szCs w:val="24"/>
          <w:lang w:eastAsia="zh-CN"/>
        </w:rPr>
        <w:t xml:space="preserve"> </w:t>
      </w:r>
      <w:r>
        <w:rPr>
          <w:bCs/>
          <w:sz w:val="24"/>
          <w:szCs w:val="24"/>
          <w:lang w:eastAsia="zh-CN"/>
        </w:rPr>
        <w:t>November</w:t>
      </w:r>
      <w:r w:rsidR="002B1D88">
        <w:rPr>
          <w:bCs/>
          <w:sz w:val="24"/>
          <w:szCs w:val="24"/>
          <w:lang w:eastAsia="zh-CN"/>
        </w:rPr>
        <w:t xml:space="preserve"> </w:t>
      </w:r>
      <w:r w:rsidR="00604294">
        <w:rPr>
          <w:bCs/>
          <w:sz w:val="24"/>
          <w:szCs w:val="24"/>
          <w:lang w:eastAsia="zh-CN"/>
        </w:rPr>
        <w:t>1</w:t>
      </w:r>
      <w:r>
        <w:rPr>
          <w:bCs/>
          <w:sz w:val="24"/>
          <w:szCs w:val="24"/>
          <w:lang w:eastAsia="zh-CN"/>
        </w:rPr>
        <w:t>4</w:t>
      </w:r>
      <w:r w:rsidR="002B1D88">
        <w:rPr>
          <w:bCs/>
          <w:sz w:val="24"/>
          <w:szCs w:val="24"/>
          <w:lang w:eastAsia="zh-CN"/>
        </w:rPr>
        <w:t xml:space="preserve"> </w:t>
      </w:r>
      <w:r w:rsidR="00AC507F">
        <w:rPr>
          <w:bCs/>
          <w:sz w:val="24"/>
          <w:szCs w:val="24"/>
          <w:lang w:eastAsia="zh-CN"/>
        </w:rPr>
        <w:t xml:space="preserve">- </w:t>
      </w:r>
      <w:r w:rsidR="002548B1">
        <w:rPr>
          <w:bCs/>
          <w:sz w:val="24"/>
          <w:szCs w:val="24"/>
          <w:lang w:eastAsia="zh-CN"/>
        </w:rPr>
        <w:t>1</w:t>
      </w:r>
      <w:r>
        <w:rPr>
          <w:bCs/>
          <w:sz w:val="24"/>
          <w:szCs w:val="24"/>
          <w:lang w:eastAsia="zh-CN"/>
        </w:rPr>
        <w:t>8</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1899A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4440">
        <w:rPr>
          <w:rFonts w:cs="Arial"/>
          <w:b/>
          <w:bCs/>
          <w:sz w:val="24"/>
        </w:rPr>
        <w:t>8.7.4.1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45CFBD1"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NR </w:t>
      </w:r>
      <w:r w:rsidR="00830B22" w:rsidRPr="00D64B1C">
        <w:rPr>
          <w:rFonts w:eastAsia="SimSun"/>
          <w:b/>
          <w:bCs/>
          <w:sz w:val="24"/>
          <w:szCs w:val="20"/>
          <w:lang w:val="en-GB" w:eastAsia="en-US"/>
        </w:rPr>
        <w:t xml:space="preserve">NTN </w:t>
      </w:r>
      <w:r w:rsidR="0040378B">
        <w:rPr>
          <w:rFonts w:eastAsia="SimSun"/>
          <w:b/>
          <w:bCs/>
          <w:sz w:val="24"/>
          <w:szCs w:val="20"/>
          <w:lang w:val="en-GB" w:eastAsia="en-US"/>
        </w:rPr>
        <w:t>Cell Reselection</w:t>
      </w:r>
      <w:r w:rsidR="00F2173A">
        <w:rPr>
          <w:rFonts w:eastAsia="SimSun"/>
          <w:b/>
          <w:bCs/>
          <w:sz w:val="24"/>
          <w:szCs w:val="20"/>
          <w:lang w:val="en-GB" w:eastAsia="en-US"/>
        </w:rPr>
        <w:t xml:space="preserve"> Enhancement</w:t>
      </w:r>
    </w:p>
    <w:p w14:paraId="1E3534A1" w14:textId="0CF1AA3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Pr="005D725F">
        <w:rPr>
          <w:b/>
          <w:bCs/>
          <w:sz w:val="24"/>
        </w:rPr>
        <w:t>NR_NTN_</w:t>
      </w:r>
      <w:r>
        <w:rPr>
          <w:b/>
          <w:bCs/>
          <w:sz w:val="24"/>
        </w:rPr>
        <w:t>enh</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2D74AFDE" w:rsidR="00871728" w:rsidRDefault="00212F1F" w:rsidP="001C4CEA">
      <w:pPr>
        <w:jc w:val="both"/>
      </w:pPr>
      <w:r>
        <w:t xml:space="preserve">In RAN2#119bis-e meeting, </w:t>
      </w:r>
      <w:r w:rsidR="009F5806">
        <w:t>NR NTN cell reselection enhancements were discussed with the focus on TN cell measurement and cell reselection with earth-moving cell [1]</w:t>
      </w:r>
      <w:r w:rsidR="00871728">
        <w:t>.</w:t>
      </w:r>
      <w:r w:rsidR="009F5806">
        <w:t xml:space="preserve"> The following agreement were made. </w:t>
      </w:r>
    </w:p>
    <w:p w14:paraId="074F968F" w14:textId="77777777" w:rsidR="009F5806" w:rsidRDefault="009F5806" w:rsidP="009F5806">
      <w:pPr>
        <w:pStyle w:val="Doc-text2"/>
        <w:pBdr>
          <w:top w:val="single" w:sz="4" w:space="1" w:color="auto"/>
          <w:left w:val="single" w:sz="4" w:space="4" w:color="auto"/>
          <w:bottom w:val="single" w:sz="4" w:space="1" w:color="auto"/>
          <w:right w:val="single" w:sz="4" w:space="4" w:color="auto"/>
        </w:pBdr>
      </w:pPr>
      <w:r>
        <w:t>Agreements:</w:t>
      </w:r>
    </w:p>
    <w:p w14:paraId="134F97DC"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rsidRPr="0017318A">
        <w:t xml:space="preserve">For NTN-NTN cell reselection with earth moving cell, </w:t>
      </w:r>
      <w:r>
        <w:t>RAN2 will consider</w:t>
      </w:r>
      <w:r w:rsidRPr="0017318A">
        <w:t xml:space="preserve"> providing p</w:t>
      </w:r>
      <w:r>
        <w:t xml:space="preserve">arameters of serving cell to  UE,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6F819754"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rsidRPr="006C4A90">
        <w:t>To enhance NTN-TN cell reselection, means are defined for a UE t</w:t>
      </w:r>
      <w:r>
        <w:t>o differentiate when camping in an area only covered by NTN network (earth-moving or earth-fixed) vs an area where TN network(s) is/are also available.</w:t>
      </w:r>
    </w:p>
    <w:p w14:paraId="5794B73D"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7F4688BB"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t>UE is not required to perform neighbour cell measurements for TN neighbour cells in an area where there is no TN network coverage.</w:t>
      </w:r>
    </w:p>
    <w:p w14:paraId="4FF86B83" w14:textId="77777777" w:rsidR="009F5806"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pPr>
      <w:r>
        <w:t>The method of detecting the transmission energy or SIB presence to determine the NTN coverage when a UE currently camps on a TN cell is not pursued.</w:t>
      </w:r>
    </w:p>
    <w:p w14:paraId="1DB1A69E" w14:textId="08416AEB" w:rsidR="00871728" w:rsidRDefault="009F5806" w:rsidP="009F5806">
      <w:pPr>
        <w:pStyle w:val="Doc-text2"/>
        <w:numPr>
          <w:ilvl w:val="0"/>
          <w:numId w:val="36"/>
        </w:numPr>
        <w:pBdr>
          <w:top w:val="single" w:sz="4" w:space="1" w:color="auto"/>
          <w:left w:val="single" w:sz="4" w:space="4" w:color="auto"/>
          <w:bottom w:val="single" w:sz="4" w:space="1" w:color="auto"/>
          <w:right w:val="single" w:sz="4" w:space="4" w:color="auto"/>
        </w:pBdr>
        <w:spacing w:after="240"/>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7527B659" w14:textId="7EE9A48A" w:rsidR="005B598B" w:rsidRPr="00051DF8" w:rsidRDefault="00B51B95" w:rsidP="001C4CEA">
      <w:pPr>
        <w:jc w:val="both"/>
      </w:pPr>
      <w:r>
        <w:t>During</w:t>
      </w:r>
      <w:r w:rsidR="009F5806">
        <w:t xml:space="preserve"> the discussion, companies have different views and </w:t>
      </w:r>
      <w:r w:rsidR="00DD5D4C">
        <w:t>preferences</w:t>
      </w:r>
      <w:r w:rsidR="009F5806">
        <w:t xml:space="preserve"> on how to provide assistance information. </w:t>
      </w:r>
      <w:r w:rsidR="00871728">
        <w:t xml:space="preserve">In this document, we </w:t>
      </w:r>
      <w:r w:rsidR="00E83852">
        <w:t>provide our view</w:t>
      </w:r>
      <w:r>
        <w:t>s</w:t>
      </w:r>
      <w:r w:rsidR="00E83852">
        <w:t xml:space="preserve"> on </w:t>
      </w:r>
      <w:r>
        <w:t xml:space="preserve">the </w:t>
      </w:r>
      <w:r w:rsidR="009F5806">
        <w:t>assistance information for cell reselection enhancements</w:t>
      </w:r>
      <w:r w:rsidR="005957E1">
        <w:t xml:space="preserve"> and propose other enhancements for cell reselection.</w:t>
      </w:r>
    </w:p>
    <w:p w14:paraId="51ABF603" w14:textId="5D0865DE" w:rsidR="00DC6A61" w:rsidRPr="006E13D1" w:rsidRDefault="00DC6A61" w:rsidP="00B7538C">
      <w:pPr>
        <w:pStyle w:val="Heading1"/>
      </w:pPr>
      <w:r>
        <w:t>Discussion</w:t>
      </w:r>
    </w:p>
    <w:p w14:paraId="35CD0992" w14:textId="77777777" w:rsidR="00CA2A8B" w:rsidRDefault="00CA2A8B" w:rsidP="00CA2A8B">
      <w:pPr>
        <w:pStyle w:val="Heading2"/>
      </w:pPr>
      <w:r>
        <w:t>Cell reselection with earth-moving cell</w:t>
      </w:r>
    </w:p>
    <w:p w14:paraId="4593349E" w14:textId="4EFAD77C" w:rsidR="00CA2A8B" w:rsidRPr="00AC1F4D" w:rsidRDefault="00CA2A8B" w:rsidP="00332B7D">
      <w:pPr>
        <w:jc w:val="both"/>
        <w:rPr>
          <w:i/>
          <w:lang w:val="en-GB"/>
        </w:rPr>
      </w:pPr>
      <w:r>
        <w:t xml:space="preserve">For cell reselection with earth-moving cell, </w:t>
      </w:r>
      <w:r w:rsidR="00332B7D">
        <w:t>it has been agreed in RAN2#119bis-e t</w:t>
      </w:r>
      <w:r w:rsidR="005B5565">
        <w:t xml:space="preserve">he reference location and distance threshold of serving cell are provided. But how to provide the information </w:t>
      </w:r>
      <w:r w:rsidR="00C920C6">
        <w:t>needs</w:t>
      </w:r>
      <w:r w:rsidR="005B5565">
        <w:t xml:space="preserve"> further discuss</w:t>
      </w:r>
      <w:r w:rsidR="00C920C6">
        <w:t>ion</w:t>
      </w:r>
      <w:r w:rsidR="005B5565">
        <w:t>.</w:t>
      </w:r>
    </w:p>
    <w:p w14:paraId="6288B267" w14:textId="18AF1FB2" w:rsidR="00332B7D" w:rsidRDefault="00332B7D" w:rsidP="00332B7D">
      <w:r>
        <w:t xml:space="preserve">In our understanding, there are two cases for earth-moving cell, namely, static beam w.r.t. moving </w:t>
      </w:r>
      <w:r w:rsidR="0007062F">
        <w:t>sub-</w:t>
      </w:r>
      <w:r>
        <w:t>satellite</w:t>
      </w:r>
      <w:r w:rsidR="0007062F">
        <w:t xml:space="preserve"> point</w:t>
      </w:r>
      <w:r>
        <w:t xml:space="preserve"> and moving beam w.r.t. moving </w:t>
      </w:r>
      <w:r w:rsidR="0007062F">
        <w:t>sub-</w:t>
      </w:r>
      <w:r>
        <w:t>satellite</w:t>
      </w:r>
      <w:r w:rsidR="0007062F">
        <w:t xml:space="preserve"> point</w:t>
      </w:r>
      <w:r>
        <w:t xml:space="preserve">. </w:t>
      </w:r>
    </w:p>
    <w:p w14:paraId="3131035E" w14:textId="0E4CA2D9" w:rsidR="00332B7D" w:rsidRDefault="00332B7D" w:rsidP="00332B7D">
      <w:r>
        <w:t xml:space="preserve">Static beam w.r.t. moving </w:t>
      </w:r>
      <w:r w:rsidR="0007062F">
        <w:t>sub-satellite point</w:t>
      </w:r>
      <w:r>
        <w:t xml:space="preserve"> refers to the case that the serving cell’s coverage (i.e.</w:t>
      </w:r>
      <w:r w:rsidR="00EB513E">
        <w:t>,</w:t>
      </w:r>
      <w:r>
        <w:t xml:space="preserve"> satellite beam footprints) is relatively static with respect to the sub-satellite point. In this case, based on</w:t>
      </w:r>
      <w:r w:rsidR="00EB513E">
        <w:t xml:space="preserve"> the ephemeris, the UE can </w:t>
      </w:r>
      <w:r>
        <w:t xml:space="preserve">derive the trajectory of the sub-satellite point and </w:t>
      </w:r>
      <w:r w:rsidR="008C7EF9">
        <w:t>its</w:t>
      </w:r>
      <w:r w:rsidR="00EB513E">
        <w:t xml:space="preserve"> </w:t>
      </w:r>
      <w:r>
        <w:t xml:space="preserve">coordinates at </w:t>
      </w:r>
      <w:r w:rsidR="00EB513E">
        <w:t>a</w:t>
      </w:r>
      <w:r>
        <w:t xml:space="preserve"> </w:t>
      </w:r>
      <w:r w:rsidR="00EB513E">
        <w:t>certain time</w:t>
      </w:r>
      <w:r>
        <w:t xml:space="preserve">. Due to the relative static between the sub-satellite point and </w:t>
      </w:r>
      <w:r w:rsidR="00E9103A">
        <w:t xml:space="preserve">the cell </w:t>
      </w:r>
      <w:r>
        <w:t xml:space="preserve">reference location, the UE can derive the trajectory of the reference location. So in this case, </w:t>
      </w:r>
      <w:r w:rsidR="008C7EF9">
        <w:t xml:space="preserve">the </w:t>
      </w:r>
      <w:r>
        <w:t xml:space="preserve">reference location coordinates with a timestamp </w:t>
      </w:r>
      <w:r w:rsidR="00E9103A">
        <w:t>need to</w:t>
      </w:r>
      <w:r>
        <w:t xml:space="preserve"> be provided. </w:t>
      </w:r>
    </w:p>
    <w:p w14:paraId="405B00D8" w14:textId="5B116F97" w:rsidR="00332B7D" w:rsidRDefault="00332B7D" w:rsidP="00332B7D">
      <w:r>
        <w:lastRenderedPageBreak/>
        <w:t xml:space="preserve">Moving beam w.r.t. moving </w:t>
      </w:r>
      <w:r w:rsidR="0007062F">
        <w:t>sub-satellite point</w:t>
      </w:r>
      <w:r>
        <w:t xml:space="preserve"> refers to the case that the serving cell’s coverage (i.e. satellite beam footprints) is moving with respect to the sub-satellite point. In this case, the UE cannot </w:t>
      </w:r>
      <w:r w:rsidR="00007440">
        <w:t>estimate</w:t>
      </w:r>
      <w:r>
        <w:t xml:space="preserve"> </w:t>
      </w:r>
      <w:r w:rsidR="00007440">
        <w:t xml:space="preserve">the </w:t>
      </w:r>
      <w:r>
        <w:t>reference location based on the sub-satellite point trajectory. In addition to the coordinates of reference location at a timestamp, the velocity of the reference location (i.e., moving speed and direction) need to be provided, so that the UE can use the velocity to estimate the trajectory of the reference location from the timestamp. By providing the velocity of reference location, NW does not need to frequently update the coordinates.</w:t>
      </w:r>
    </w:p>
    <w:p w14:paraId="0499873D" w14:textId="3922D5B7" w:rsidR="00007440" w:rsidRDefault="00007440" w:rsidP="00332B7D">
      <w:r>
        <w:t xml:space="preserve">We think both cases are possible for earth-moving cells since how the beam footprint is moving w.r.t. the </w:t>
      </w:r>
      <w:r w:rsidR="008C7EF9">
        <w:t>sub-</w:t>
      </w:r>
      <w:r>
        <w:t>satellite</w:t>
      </w:r>
      <w:r w:rsidR="008C7EF9">
        <w:t xml:space="preserve"> point</w:t>
      </w:r>
      <w:r>
        <w:t xml:space="preserve"> may depend on </w:t>
      </w:r>
      <w:r w:rsidR="0019158C">
        <w:t xml:space="preserve">satellite orbit, ephemeris, </w:t>
      </w:r>
      <w:r>
        <w:t xml:space="preserve">how the satellite beam is steered, etc. </w:t>
      </w:r>
    </w:p>
    <w:p w14:paraId="03A004D2" w14:textId="2495476F" w:rsidR="00A07140" w:rsidRDefault="00A07140" w:rsidP="00CA2A8B">
      <w:pPr>
        <w:rPr>
          <w:b/>
        </w:rPr>
      </w:pPr>
      <w:r>
        <w:rPr>
          <w:b/>
        </w:rPr>
        <w:t>Observation 1: H</w:t>
      </w:r>
      <w:r w:rsidRPr="00A07140">
        <w:rPr>
          <w:b/>
        </w:rPr>
        <w:t xml:space="preserve">ow the beam footprint is moving w.r.t. the </w:t>
      </w:r>
      <w:r w:rsidR="0007062F">
        <w:rPr>
          <w:b/>
        </w:rPr>
        <w:t>sub-</w:t>
      </w:r>
      <w:r w:rsidRPr="00A07140">
        <w:rPr>
          <w:b/>
        </w:rPr>
        <w:t xml:space="preserve">satellite </w:t>
      </w:r>
      <w:r w:rsidR="0007062F">
        <w:rPr>
          <w:b/>
        </w:rPr>
        <w:t xml:space="preserve">point </w:t>
      </w:r>
      <w:r w:rsidRPr="00A07140">
        <w:rPr>
          <w:b/>
        </w:rPr>
        <w:t>may depend on satellite orbit, ephemeris, how the satellite beam is steered, etc</w:t>
      </w:r>
      <w:r>
        <w:rPr>
          <w:b/>
        </w:rPr>
        <w:t>.</w:t>
      </w:r>
    </w:p>
    <w:p w14:paraId="570E8171" w14:textId="789FDC19" w:rsidR="00332B7D" w:rsidRPr="00332B7D" w:rsidRDefault="00332B7D" w:rsidP="00CA2A8B">
      <w:pPr>
        <w:rPr>
          <w:b/>
        </w:rPr>
      </w:pPr>
      <w:r w:rsidRPr="00332B7D">
        <w:rPr>
          <w:b/>
        </w:rPr>
        <w:t xml:space="preserve">Proposal 1: RAN2 to consider both scenarios for earth moving cell, i.e., static beam w.r.t. moving </w:t>
      </w:r>
      <w:r w:rsidR="0007062F" w:rsidRPr="0007062F">
        <w:rPr>
          <w:b/>
        </w:rPr>
        <w:t>sub-satellite point</w:t>
      </w:r>
      <w:r w:rsidRPr="00332B7D">
        <w:rPr>
          <w:b/>
        </w:rPr>
        <w:t xml:space="preserve"> and moving beam w.r.t. moving </w:t>
      </w:r>
      <w:r w:rsidR="0007062F" w:rsidRPr="0007062F">
        <w:rPr>
          <w:b/>
        </w:rPr>
        <w:t>sub-satellite point</w:t>
      </w:r>
      <w:r w:rsidRPr="00332B7D">
        <w:rPr>
          <w:b/>
        </w:rPr>
        <w:t>.</w:t>
      </w:r>
    </w:p>
    <w:p w14:paraId="4F67CBB5" w14:textId="667BF256" w:rsidR="00332B7D" w:rsidRDefault="00332B7D" w:rsidP="00332B7D">
      <w:pPr>
        <w:jc w:val="both"/>
      </w:pPr>
      <w:r>
        <w:t>The following proposal was made</w:t>
      </w:r>
      <w:r w:rsidR="003D3149">
        <w:t xml:space="preserve"> in RAN2#119bis-e</w:t>
      </w:r>
      <w:r>
        <w:t xml:space="preserve"> regarding how to provide the reference location and/or distance threshold [2].</w:t>
      </w:r>
    </w:p>
    <w:p w14:paraId="5BFEC1CF" w14:textId="77777777" w:rsidR="00332B7D" w:rsidRPr="00AC1F4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t xml:space="preserve"> </w:t>
      </w:r>
      <w:r w:rsidRPr="00AC1F4D">
        <w:rPr>
          <w:i/>
          <w:lang w:val="en-GB"/>
        </w:rPr>
        <w:t>Proposal 2: In Earth-moving cell, regarding how to provide the reference location of serving cell, the following options can be further discussed:</w:t>
      </w:r>
    </w:p>
    <w:p w14:paraId="575E00FB" w14:textId="77777777" w:rsidR="00332B7D" w:rsidRPr="00AC1F4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AC1F4D">
        <w:rPr>
          <w:i/>
          <w:lang w:val="en-GB"/>
        </w:rPr>
        <w:t>1.</w:t>
      </w:r>
      <w:r w:rsidRPr="00AC1F4D">
        <w:rPr>
          <w:i/>
          <w:lang w:val="en-GB"/>
        </w:rPr>
        <w:tab/>
        <w:t>only location coordinates of current cell center, and network is supposed to update the values every time when it is provided for Earth-moving cell.</w:t>
      </w:r>
    </w:p>
    <w:p w14:paraId="4C5894C5" w14:textId="77777777" w:rsidR="00332B7D" w:rsidRPr="00AC1F4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AC1F4D">
        <w:rPr>
          <w:i/>
          <w:lang w:val="en-GB"/>
        </w:rPr>
        <w:t>2.</w:t>
      </w:r>
      <w:r w:rsidRPr="00AC1F4D">
        <w:rPr>
          <w:i/>
          <w:lang w:val="en-GB"/>
        </w:rPr>
        <w:tab/>
        <w:t>multiple reference locations and its time information of Earth-moving cell.</w:t>
      </w:r>
    </w:p>
    <w:p w14:paraId="7D501F81" w14:textId="77777777" w:rsidR="00332B7D" w:rsidRPr="00AC1F4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AC1F4D">
        <w:rPr>
          <w:i/>
          <w:lang w:val="en-GB"/>
        </w:rPr>
        <w:t>3.</w:t>
      </w:r>
      <w:r w:rsidRPr="00AC1F4D">
        <w:rPr>
          <w:i/>
          <w:lang w:val="en-GB"/>
        </w:rPr>
        <w:tab/>
        <w:t>based on the sub-satellite point derived by satellite ephemeris and the broadcasted location offset between sub-satellite point and the cell reference location</w:t>
      </w:r>
    </w:p>
    <w:p w14:paraId="05D5A52F" w14:textId="77777777" w:rsidR="00332B7D" w:rsidRPr="00AC1F4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AC1F4D">
        <w:rPr>
          <w:i/>
          <w:lang w:val="en-GB"/>
        </w:rPr>
        <w:t>4.</w:t>
      </w:r>
      <w:r w:rsidRPr="00AC1F4D">
        <w:rPr>
          <w:i/>
          <w:lang w:val="en-GB"/>
        </w:rPr>
        <w:tab/>
        <w:t xml:space="preserve">cell type (fixed or moving), reference location coordinates with a time stamp, and the velocity of reference location </w:t>
      </w:r>
    </w:p>
    <w:p w14:paraId="09F6780A" w14:textId="11E1235A" w:rsidR="00332B7D" w:rsidRPr="00332B7D" w:rsidRDefault="00332B7D" w:rsidP="00332B7D">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AC1F4D">
        <w:rPr>
          <w:i/>
          <w:lang w:val="en-GB"/>
        </w:rPr>
        <w:t>5.</w:t>
      </w:r>
      <w:r w:rsidRPr="00AC1F4D">
        <w:rPr>
          <w:i/>
          <w:lang w:val="en-GB"/>
        </w:rPr>
        <w:tab/>
        <w:t>cell type, reference location corresponding to the epochTime (reuse the existing epochTime).</w:t>
      </w:r>
    </w:p>
    <w:p w14:paraId="7DC7300B" w14:textId="1A95F2E2" w:rsidR="00CA2A8B" w:rsidRDefault="00CA2A8B" w:rsidP="00CA2A8B">
      <w:r>
        <w:t xml:space="preserve">For option 1, as the satellite speed is fast (e.g., 7.56km/s for LEO), the reference location of an earth-moving cell </w:t>
      </w:r>
      <w:r w:rsidR="00D004AD">
        <w:t>can</w:t>
      </w:r>
      <w:r>
        <w:t xml:space="preserve"> also mov</w:t>
      </w:r>
      <w:r w:rsidR="00D004AD">
        <w:t>e</w:t>
      </w:r>
      <w:r>
        <w:t xml:space="preserve"> fast. </w:t>
      </w:r>
      <w:r w:rsidR="005E5A63">
        <w:t>T</w:t>
      </w:r>
      <w:r>
        <w:t>he shortest SI periodicity is 8 radio frames</w:t>
      </w:r>
      <w:r w:rsidR="008F60D4">
        <w:t>, i.e., 80ms, during which the reference locatio</w:t>
      </w:r>
      <w:r w:rsidR="00D004AD">
        <w:t>n can move</w:t>
      </w:r>
      <w:r w:rsidR="008F60D4">
        <w:t xml:space="preserve"> 600 m with the satellite. This means </w:t>
      </w:r>
      <w:r w:rsidR="005E5A63">
        <w:t xml:space="preserve">it is infeasible for the </w:t>
      </w:r>
      <w:r w:rsidR="008F60D4">
        <w:t>NW</w:t>
      </w:r>
      <w:r w:rsidR="005E5A63">
        <w:t xml:space="preserve"> to</w:t>
      </w:r>
      <w:r w:rsidR="008F60D4">
        <w:t xml:space="preserve"> provide the reference location in a timely manner by updating </w:t>
      </w:r>
      <w:r w:rsidR="00B6002E">
        <w:t xml:space="preserve">location </w:t>
      </w:r>
      <w:r w:rsidR="008F60D4">
        <w:t>coordinates according to SI periodicity.</w:t>
      </w:r>
      <w:r w:rsidR="00395AEF">
        <w:t xml:space="preserve"> Therefore, additional information is needed to for UE to estimate the </w:t>
      </w:r>
      <w:r w:rsidR="00D75219">
        <w:t>reference location for an earth moving cell.</w:t>
      </w:r>
    </w:p>
    <w:p w14:paraId="04EE4CB6" w14:textId="233B74CC" w:rsidR="00217633" w:rsidRPr="00217633" w:rsidRDefault="00217633" w:rsidP="00CA2A8B">
      <w:pPr>
        <w:rPr>
          <w:b/>
        </w:rPr>
      </w:pPr>
      <w:r w:rsidRPr="00217633">
        <w:rPr>
          <w:b/>
        </w:rPr>
        <w:t xml:space="preserve">Observation </w:t>
      </w:r>
      <w:r w:rsidR="00A07140">
        <w:rPr>
          <w:b/>
        </w:rPr>
        <w:t>2</w:t>
      </w:r>
      <w:r w:rsidRPr="00217633">
        <w:rPr>
          <w:b/>
        </w:rPr>
        <w:t xml:space="preserve">: NW cannot provide the reference location in a timely manner by updating </w:t>
      </w:r>
      <w:r w:rsidR="000368CF">
        <w:rPr>
          <w:b/>
        </w:rPr>
        <w:t xml:space="preserve">location </w:t>
      </w:r>
      <w:r w:rsidRPr="00217633">
        <w:rPr>
          <w:b/>
        </w:rPr>
        <w:t>coordinates according to SI periodicity</w:t>
      </w:r>
      <w:r>
        <w:rPr>
          <w:b/>
        </w:rPr>
        <w:t>.</w:t>
      </w:r>
    </w:p>
    <w:p w14:paraId="4F540D2A" w14:textId="18B8EA7C" w:rsidR="003F3652" w:rsidRDefault="003F3652" w:rsidP="00CA2A8B">
      <w:r>
        <w:t xml:space="preserve">For option 2, </w:t>
      </w:r>
      <w:r w:rsidR="000B61B9">
        <w:t xml:space="preserve">indicating multiple reference locations and </w:t>
      </w:r>
      <w:r w:rsidR="008C68EA">
        <w:t xml:space="preserve">the </w:t>
      </w:r>
      <w:r w:rsidR="000B61B9">
        <w:t xml:space="preserve">associated time for each may require large overhead. A more straightforward way is to </w:t>
      </w:r>
      <w:r w:rsidR="007F0455">
        <w:t>let the UE know</w:t>
      </w:r>
      <w:r w:rsidR="000B61B9">
        <w:t xml:space="preserve"> the velocity of the reference location.</w:t>
      </w:r>
    </w:p>
    <w:p w14:paraId="348B6E62" w14:textId="76228D13" w:rsidR="00395AEF" w:rsidRDefault="000B61B9" w:rsidP="00CA2A8B">
      <w:r>
        <w:t xml:space="preserve">For option 3, </w:t>
      </w:r>
      <w:r w:rsidR="009D7615">
        <w:t xml:space="preserve">the offset between the sub-satellite point and the reference location can be derived by the UE as long as the timestamp of the reference location is provided. Since ephemeris is provided, the UE can derive the </w:t>
      </w:r>
      <w:r w:rsidR="009B6B5E">
        <w:t>coordinates</w:t>
      </w:r>
      <w:r w:rsidR="009D7615">
        <w:t xml:space="preserve"> of the sub-satellite point at the timestamp. Then, </w:t>
      </w:r>
      <w:r w:rsidR="002945AD">
        <w:t>given</w:t>
      </w:r>
      <w:r w:rsidR="009D7615">
        <w:t xml:space="preserve"> the reference location at the timestamp, the distance between the sub-satellite point and the reference location can be calculated by the UE. Therefore, it is not </w:t>
      </w:r>
      <w:r w:rsidR="00361D54">
        <w:t xml:space="preserve">needed </w:t>
      </w:r>
      <w:r w:rsidR="009D7615">
        <w:t>to provide the offset between the sub-satellite point and the reference location.</w:t>
      </w:r>
    </w:p>
    <w:p w14:paraId="3CF66E5D" w14:textId="19C1242E" w:rsidR="009D7615" w:rsidRDefault="009D7615" w:rsidP="00CA2A8B">
      <w:r>
        <w:t>Opt</w:t>
      </w:r>
      <w:r w:rsidR="003026A7">
        <w:t>ion 4 and option 5 are similar</w:t>
      </w:r>
      <w:r w:rsidR="005B5565">
        <w:t xml:space="preserve">, while option 5 only considers static beam w.r.t. moving </w:t>
      </w:r>
      <w:r w:rsidR="00BA38C0">
        <w:t>sub-</w:t>
      </w:r>
      <w:r w:rsidR="005B5565">
        <w:t xml:space="preserve">satellite </w:t>
      </w:r>
      <w:r w:rsidR="00BA38C0">
        <w:t xml:space="preserve">point </w:t>
      </w:r>
      <w:r w:rsidR="005B5565">
        <w:t xml:space="preserve">and option 4 is more universal by covering both </w:t>
      </w:r>
      <w:r w:rsidR="005B5565" w:rsidRPr="005B5565">
        <w:t xml:space="preserve">static beam w.r.t. moving </w:t>
      </w:r>
      <w:r w:rsidR="00BA38C0">
        <w:t>sub-</w:t>
      </w:r>
      <w:r w:rsidR="005B5565" w:rsidRPr="005B5565">
        <w:t xml:space="preserve">satellite </w:t>
      </w:r>
      <w:r w:rsidR="00BA38C0">
        <w:t xml:space="preserve">point </w:t>
      </w:r>
      <w:r w:rsidR="005B5565" w:rsidRPr="005B5565">
        <w:t xml:space="preserve">and moving beam w.r.t. moving </w:t>
      </w:r>
      <w:r w:rsidR="00BA38C0">
        <w:t>sub-</w:t>
      </w:r>
      <w:r w:rsidR="005B5565" w:rsidRPr="005B5565">
        <w:t>satellite</w:t>
      </w:r>
      <w:r w:rsidR="00BA38C0">
        <w:t xml:space="preserve"> point</w:t>
      </w:r>
      <w:r w:rsidR="005B5565">
        <w:t xml:space="preserve">. </w:t>
      </w:r>
      <w:r w:rsidR="00755CF3">
        <w:t xml:space="preserve">If both cases are considered in earth-moving cell, we think option 4 </w:t>
      </w:r>
      <w:r w:rsidR="005E1600">
        <w:t>is a feasible solution.</w:t>
      </w:r>
      <w:r w:rsidR="00755CF3">
        <w:t xml:space="preserve"> </w:t>
      </w:r>
      <w:r w:rsidR="00476C27">
        <w:t xml:space="preserve">And </w:t>
      </w:r>
      <w:r w:rsidR="0047610A">
        <w:t>the velocity can implicitly indicate the cell is an earth-moving cell</w:t>
      </w:r>
      <w:r w:rsidR="00755CF3">
        <w:t>.</w:t>
      </w:r>
    </w:p>
    <w:p w14:paraId="43DC24D5" w14:textId="5CE85BD3" w:rsidR="00755CF3" w:rsidRDefault="00755CF3" w:rsidP="00CA2A8B">
      <w:pPr>
        <w:rPr>
          <w:b/>
        </w:rPr>
      </w:pPr>
      <w:r w:rsidRPr="00332B7D">
        <w:rPr>
          <w:b/>
        </w:rPr>
        <w:t xml:space="preserve">Proposal </w:t>
      </w:r>
      <w:r>
        <w:rPr>
          <w:b/>
        </w:rPr>
        <w:t>2</w:t>
      </w:r>
      <w:r w:rsidRPr="00332B7D">
        <w:rPr>
          <w:b/>
        </w:rPr>
        <w:t xml:space="preserve">: </w:t>
      </w:r>
      <w:r w:rsidR="00310541">
        <w:rPr>
          <w:b/>
        </w:rPr>
        <w:t>For the earth-moving cell, t</w:t>
      </w:r>
      <w:r w:rsidR="0047610A">
        <w:rPr>
          <w:b/>
        </w:rPr>
        <w:t xml:space="preserve">he </w:t>
      </w:r>
      <w:r w:rsidR="0047610A" w:rsidRPr="0047610A">
        <w:rPr>
          <w:b/>
        </w:rPr>
        <w:t>reference l</w:t>
      </w:r>
      <w:r w:rsidR="0047610A">
        <w:rPr>
          <w:b/>
        </w:rPr>
        <w:t>ocation coordinates with a timestamp</w:t>
      </w:r>
      <w:r w:rsidR="0047610A" w:rsidRPr="0047610A">
        <w:rPr>
          <w:b/>
        </w:rPr>
        <w:t xml:space="preserve"> and the velocity of reference location</w:t>
      </w:r>
      <w:r w:rsidR="0047610A">
        <w:rPr>
          <w:b/>
        </w:rPr>
        <w:t xml:space="preserve"> are provided.</w:t>
      </w:r>
    </w:p>
    <w:p w14:paraId="5917913B" w14:textId="5724C2FB" w:rsidR="00367A75" w:rsidRDefault="00367A75" w:rsidP="00CA2A8B">
      <w:r>
        <w:lastRenderedPageBreak/>
        <w:t xml:space="preserve">Furthermore, it has been agreed that the distance threshold for the serving cell is provided. Based on the reference location information provided by the network, the UE can estimate the movement of the reference location, and use the distance threshold to evaluate whether to initiate neighbor cell measurement, which is similar to the Rel-17 location-based measurement initiation. Thus, a fixed distance threshold can be provided for the serving cell. </w:t>
      </w:r>
    </w:p>
    <w:p w14:paraId="3858EB1B" w14:textId="3ABDF8F4" w:rsidR="00367A75" w:rsidRPr="00367A75" w:rsidRDefault="00367A75" w:rsidP="00CA2A8B">
      <w:pPr>
        <w:rPr>
          <w:b/>
        </w:rPr>
      </w:pPr>
      <w:r w:rsidRPr="00367A75">
        <w:rPr>
          <w:b/>
        </w:rPr>
        <w:t xml:space="preserve">Proposal 3: For the earth-moving cell, a fixed distance threshold associated with the reference location can be provided for the serving cell. </w:t>
      </w:r>
    </w:p>
    <w:p w14:paraId="3A0DEBAC" w14:textId="3B566E03" w:rsidR="0062599C" w:rsidRDefault="0062599C" w:rsidP="00CA2A8B">
      <w:pPr>
        <w:pStyle w:val="Heading2"/>
      </w:pPr>
      <w:r>
        <w:t>TN cell measurement</w:t>
      </w:r>
    </w:p>
    <w:p w14:paraId="623067E9" w14:textId="4F15223F" w:rsidR="006B46F5" w:rsidRDefault="006B46F5" w:rsidP="006B46F5">
      <w:pPr>
        <w:pStyle w:val="Heading3"/>
      </w:pPr>
      <w:r>
        <w:t>Cell type indication</w:t>
      </w:r>
    </w:p>
    <w:p w14:paraId="09EEB512" w14:textId="5F47D7D8" w:rsidR="008378CB" w:rsidRDefault="00313299" w:rsidP="001C4CEA">
      <w:pPr>
        <w:jc w:val="both"/>
      </w:pPr>
      <w:r>
        <w:t>In the offline discuss</w:t>
      </w:r>
      <w:r w:rsidR="00FA2589">
        <w:t>ion</w:t>
      </w:r>
      <w:r>
        <w:t xml:space="preserve"> in RAN2#119bis-e [2],</w:t>
      </w:r>
      <w:r w:rsidR="00FA2589">
        <w:t xml:space="preserve"> whether to indicate cell type of a neighbor cell was discussed. </w:t>
      </w:r>
    </w:p>
    <w:p w14:paraId="6589ADB3" w14:textId="5B21C384" w:rsidR="00FA2589" w:rsidRPr="001E5E26" w:rsidRDefault="00FA2589"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sidRPr="001E5E26">
        <w:rPr>
          <w:i/>
          <w:lang w:val="en-GB"/>
        </w:rPr>
        <w:t>Proposal 7: RAN2 to further discuss whether the cell type (i.e. “TN” vs “NTN”) of a neighbour cell can be indicated implicitly by existing system information, e.g., SIB19 or band numbers.</w:t>
      </w:r>
    </w:p>
    <w:p w14:paraId="2FD5A8B3" w14:textId="768D369F" w:rsidR="00FA2589" w:rsidRDefault="00FA2589" w:rsidP="001C4CEA">
      <w:pPr>
        <w:jc w:val="both"/>
      </w:pPr>
      <w:r>
        <w:t xml:space="preserve">Some companies mentioned that although TN and NTN frequency bands are overlapping, different frequency band numbers are assigned, thus, </w:t>
      </w:r>
      <w:r w:rsidRPr="00FA2589">
        <w:rPr>
          <w:i/>
        </w:rPr>
        <w:t>FreqBandIndicatorNR</w:t>
      </w:r>
      <w:r>
        <w:t xml:space="preserve"> can implicitly indicate whether a neighbor cell is TN cell or NTN cell. </w:t>
      </w:r>
      <w:r w:rsidR="00BE17AD">
        <w:t>In TS 38.101-5, for NTN satellite operating band, different frequency band numbers are used for TN and NTN overlapping bands, i.e., NTN band n255 is overlapping with TN band n24 and NTN band n256 is overlapping with TN band n65.</w:t>
      </w:r>
    </w:p>
    <w:p w14:paraId="051F53D3" w14:textId="7ED520BA" w:rsidR="00D17225" w:rsidRDefault="00BE17AD" w:rsidP="001C4CEA">
      <w:pPr>
        <w:jc w:val="both"/>
      </w:pPr>
      <w:r>
        <w:t xml:space="preserve">However, we notice that there was similar discussion when introducing </w:t>
      </w:r>
      <w:r w:rsidRPr="00FA2589">
        <w:rPr>
          <w:i/>
        </w:rPr>
        <w:t>cellBarredNTN</w:t>
      </w:r>
      <w:r>
        <w:t xml:space="preserve"> in Rel-17. That is, for satellite </w:t>
      </w:r>
      <w:r w:rsidR="00DC045F">
        <w:t>operation</w:t>
      </w:r>
      <w:r>
        <w:t xml:space="preserve"> the frequency band numbers are different for TN and N</w:t>
      </w:r>
      <w:r w:rsidR="00051F75">
        <w:t xml:space="preserve">TN bands, but for </w:t>
      </w:r>
      <w:r>
        <w:t>HAPS</w:t>
      </w:r>
      <w:r w:rsidR="00DC045F">
        <w:t xml:space="preserve"> operation</w:t>
      </w:r>
      <w:r w:rsidR="00051F75">
        <w:t xml:space="preserve">, </w:t>
      </w:r>
      <w:r w:rsidR="00051F75" w:rsidRPr="00051F75">
        <w:t>RAN4 agreed that “NR band n1 as example band for HAPS relat</w:t>
      </w:r>
      <w:r w:rsidR="00051F75">
        <w:t xml:space="preserve">ed coexistence studies at 2GHz”. </w:t>
      </w:r>
      <w:r w:rsidR="00D17225">
        <w:t>TS 38.104 specifies the following</w:t>
      </w:r>
      <w:r w:rsidR="00051F75">
        <w:t>.</w:t>
      </w:r>
      <w:r w:rsidR="00DC045F">
        <w:t xml:space="preserve"> In this case, the UE cannot distinguish TN and NTN by frequency band number.</w:t>
      </w:r>
    </w:p>
    <w:p w14:paraId="783095BF" w14:textId="77777777" w:rsidR="00D17225" w:rsidRPr="00D17225" w:rsidRDefault="00051F75" w:rsidP="00D17225">
      <w:pPr>
        <w:pStyle w:val="Doc-text2"/>
        <w:pBdr>
          <w:top w:val="single" w:sz="4" w:space="1" w:color="auto"/>
          <w:left w:val="single" w:sz="4" w:space="4" w:color="auto"/>
          <w:bottom w:val="single" w:sz="4" w:space="1" w:color="auto"/>
          <w:right w:val="single" w:sz="4" w:space="4" w:color="auto"/>
        </w:pBdr>
        <w:spacing w:after="240"/>
        <w:ind w:left="647"/>
        <w:rPr>
          <w:i/>
          <w:lang w:val="sv-SE"/>
        </w:rPr>
      </w:pPr>
      <w:r>
        <w:t xml:space="preserve"> </w:t>
      </w:r>
      <w:r w:rsidR="00D17225" w:rsidRPr="00D17225">
        <w:rPr>
          <w:i/>
          <w:lang w:val="sv-SE"/>
        </w:rPr>
        <w:t>5.2</w:t>
      </w:r>
      <w:r w:rsidR="00D17225" w:rsidRPr="00D17225">
        <w:rPr>
          <w:i/>
          <w:lang w:val="sv-SE"/>
        </w:rPr>
        <w:tab/>
        <w:t>Operating bands</w:t>
      </w:r>
    </w:p>
    <w:p w14:paraId="0A05C071" w14:textId="727069E0" w:rsidR="00D17225"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 xml:space="preserve">NR is designed to operate in the operating bands defined in table 5.2-1 and 5.2-2. </w:t>
      </w:r>
    </w:p>
    <w:p w14:paraId="19B46753" w14:textId="77777777" w:rsidR="00D17225"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NR operating band n1, which is defined in Table 5.2-1, can be applied for HAPS operation.</w:t>
      </w:r>
    </w:p>
    <w:p w14:paraId="22757796" w14:textId="7CC9F641" w:rsidR="00BE17AD"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NB-IoT is designed to operate in the NR operating bands n1, n2, n3, n5, n7, n8, n12, n13, n14, n18, n20, n25, n26, n28, n41, n65, n66, n70, n71, n74, n90 which are defined in Table 5.2-1.</w:t>
      </w:r>
    </w:p>
    <w:p w14:paraId="682AFB87" w14:textId="1F982AF5" w:rsidR="008378CB" w:rsidRPr="00CB4772" w:rsidRDefault="008378CB" w:rsidP="001C4CEA">
      <w:pPr>
        <w:jc w:val="both"/>
        <w:rPr>
          <w:b/>
        </w:rPr>
      </w:pPr>
      <w:r w:rsidRPr="00CB4772">
        <w:rPr>
          <w:b/>
        </w:rPr>
        <w:t xml:space="preserve">Observation </w:t>
      </w:r>
      <w:r w:rsidR="00A07140">
        <w:rPr>
          <w:b/>
        </w:rPr>
        <w:t>3</w:t>
      </w:r>
      <w:r w:rsidRPr="00CB4772">
        <w:rPr>
          <w:b/>
        </w:rPr>
        <w:t xml:space="preserve">: </w:t>
      </w:r>
      <w:r w:rsidR="009913B3">
        <w:rPr>
          <w:b/>
        </w:rPr>
        <w:t xml:space="preserve">For </w:t>
      </w:r>
      <w:r w:rsidR="00410B87">
        <w:rPr>
          <w:b/>
        </w:rPr>
        <w:t xml:space="preserve">NTN </w:t>
      </w:r>
      <w:r w:rsidR="009913B3">
        <w:rPr>
          <w:b/>
        </w:rPr>
        <w:t>HAPS</w:t>
      </w:r>
      <w:r w:rsidR="00D17225">
        <w:rPr>
          <w:b/>
        </w:rPr>
        <w:t xml:space="preserve"> operation</w:t>
      </w:r>
      <w:r w:rsidR="009913B3">
        <w:rPr>
          <w:b/>
        </w:rPr>
        <w:t xml:space="preserve">, </w:t>
      </w:r>
      <w:r w:rsidR="00DC045F">
        <w:rPr>
          <w:b/>
        </w:rPr>
        <w:t>the UE cannot distinguish TN and NTN in frequency band n1</w:t>
      </w:r>
      <w:r w:rsidR="00CB4772" w:rsidRPr="00CB4772">
        <w:rPr>
          <w:b/>
        </w:rPr>
        <w:t>.</w:t>
      </w:r>
    </w:p>
    <w:p w14:paraId="56C3AD37" w14:textId="14E5FAB1" w:rsidR="009913B3" w:rsidRDefault="009913B3" w:rsidP="0062410C">
      <w:pPr>
        <w:jc w:val="both"/>
      </w:pPr>
      <w:r>
        <w:t xml:space="preserve">Furthermore, some think the UE can distinguish </w:t>
      </w:r>
      <w:r w:rsidR="008F391F">
        <w:t xml:space="preserve">TN and NTN cell </w:t>
      </w:r>
      <w:r w:rsidR="00364152">
        <w:t xml:space="preserve">based on </w:t>
      </w:r>
      <w:r>
        <w:t xml:space="preserve">whether </w:t>
      </w:r>
      <w:r w:rsidR="00364152">
        <w:t>satellite assistance information (e.g., ephemeris)</w:t>
      </w:r>
      <w:r>
        <w:t xml:space="preserve"> is provided </w:t>
      </w:r>
      <w:r w:rsidR="00364152">
        <w:t>or based on whether SIB19 is scheduled for the neighbor cell. We agree that if a neighbor cell’s satellite assistance information is provided in the serving cell SIB19, the UE can know that neighbor cell is an NTN cell. But the serving cell’s SIB19 ma</w:t>
      </w:r>
      <w:r w:rsidR="00C25A41">
        <w:t>y not include all neighbor cell</w:t>
      </w:r>
      <w:r w:rsidR="00364152">
        <w:t>s</w:t>
      </w:r>
      <w:r w:rsidR="00C25A41">
        <w:t>’</w:t>
      </w:r>
      <w:r w:rsidR="00364152">
        <w:t xml:space="preserve"> satellite assistance information. If </w:t>
      </w:r>
      <w:r w:rsidR="00E16A39">
        <w:t xml:space="preserve">a certain neighbor cell </w:t>
      </w:r>
      <w:r w:rsidR="00364152">
        <w:t xml:space="preserve">not included, the UE still </w:t>
      </w:r>
      <w:r w:rsidR="00C25A41">
        <w:t>cannot distinguish</w:t>
      </w:r>
      <w:r w:rsidR="00E16A39">
        <w:t>, for example, in frequency band n1</w:t>
      </w:r>
      <w:r w:rsidR="00364152">
        <w:t xml:space="preserve">. Similarly, from the serving cell’s system information, the UE cannot known whether a neighbor cell’s system information includes SIB19 or not. </w:t>
      </w:r>
    </w:p>
    <w:p w14:paraId="662F7654" w14:textId="279CF107" w:rsidR="00E337F6" w:rsidRPr="00F41A62" w:rsidRDefault="00E337F6" w:rsidP="0062410C">
      <w:pPr>
        <w:jc w:val="both"/>
        <w:rPr>
          <w:b/>
        </w:rPr>
      </w:pPr>
      <w:r w:rsidRPr="00F41A62">
        <w:rPr>
          <w:b/>
        </w:rPr>
        <w:t xml:space="preserve">Observation </w:t>
      </w:r>
      <w:r w:rsidR="00A07140">
        <w:rPr>
          <w:b/>
        </w:rPr>
        <w:t>4</w:t>
      </w:r>
      <w:r w:rsidRPr="00F41A62">
        <w:rPr>
          <w:b/>
        </w:rPr>
        <w:t>: The UE cannot know the cell type (i.e., TN or NTN) from the serving cell’s system info</w:t>
      </w:r>
      <w:r w:rsidR="00307CD6">
        <w:rPr>
          <w:b/>
        </w:rPr>
        <w:t>rmation when</w:t>
      </w:r>
      <w:r w:rsidRPr="00F41A62">
        <w:rPr>
          <w:b/>
        </w:rPr>
        <w:t xml:space="preserve"> the neighbor cell’s satellite assistance information is not provided.</w:t>
      </w:r>
    </w:p>
    <w:p w14:paraId="297E9994" w14:textId="423E5546" w:rsidR="009913B3" w:rsidRDefault="00CC653B" w:rsidP="0062410C">
      <w:pPr>
        <w:jc w:val="both"/>
      </w:pPr>
      <w:r>
        <w:t>Considering</w:t>
      </w:r>
      <w:r w:rsidR="009913B3">
        <w:t xml:space="preserve"> these cases, the UE cannot simply </w:t>
      </w:r>
      <w:r>
        <w:t>know the cell type</w:t>
      </w:r>
      <w:r w:rsidR="009913B3">
        <w:t xml:space="preserve"> by frequency band number or </w:t>
      </w:r>
      <w:r w:rsidR="009913B3" w:rsidRPr="003B0769">
        <w:t>ARFCN</w:t>
      </w:r>
      <w:r>
        <w:t xml:space="preserve"> or satellite assistance information</w:t>
      </w:r>
      <w:r w:rsidR="005E47B2">
        <w:t>. T</w:t>
      </w:r>
      <w:r>
        <w:t>he simpl</w:t>
      </w:r>
      <w:r w:rsidR="00FE40A6">
        <w:t>e</w:t>
      </w:r>
      <w:r>
        <w:t xml:space="preserve"> way is </w:t>
      </w:r>
      <w:r w:rsidR="00FE40A6">
        <w:t>to</w:t>
      </w:r>
      <w:r w:rsidR="009913B3">
        <w:t xml:space="preserve"> indicate</w:t>
      </w:r>
      <w:r w:rsidR="00E26122">
        <w:t xml:space="preserve"> the type of a neighbor cell</w:t>
      </w:r>
      <w:r w:rsidR="009913B3">
        <w:t xml:space="preserve"> </w:t>
      </w:r>
      <w:r w:rsidR="00F2073A">
        <w:t>(</w:t>
      </w:r>
      <w:r w:rsidR="00E16A39">
        <w:t xml:space="preserve">i.e., TN or </w:t>
      </w:r>
      <w:r w:rsidR="009913B3">
        <w:t>NTN</w:t>
      </w:r>
      <w:r w:rsidR="00F2073A">
        <w:t>)</w:t>
      </w:r>
      <w:r w:rsidR="009913B3">
        <w:t xml:space="preserve">. </w:t>
      </w:r>
    </w:p>
    <w:p w14:paraId="068D699D" w14:textId="1CB39898" w:rsidR="009913B3" w:rsidRPr="00CB4772" w:rsidRDefault="009913B3" w:rsidP="009913B3">
      <w:pPr>
        <w:jc w:val="both"/>
        <w:rPr>
          <w:b/>
        </w:rPr>
      </w:pPr>
      <w:r>
        <w:rPr>
          <w:b/>
        </w:rPr>
        <w:t>Proposal</w:t>
      </w:r>
      <w:r w:rsidRPr="00CB4772">
        <w:rPr>
          <w:b/>
        </w:rPr>
        <w:t xml:space="preserve"> </w:t>
      </w:r>
      <w:r w:rsidR="00B46556">
        <w:rPr>
          <w:b/>
        </w:rPr>
        <w:t>4</w:t>
      </w:r>
      <w:r w:rsidRPr="00CB4772">
        <w:rPr>
          <w:b/>
        </w:rPr>
        <w:t xml:space="preserve">: </w:t>
      </w:r>
      <w:r w:rsidR="00CC653B">
        <w:rPr>
          <w:b/>
        </w:rPr>
        <w:t>C</w:t>
      </w:r>
      <w:r w:rsidR="00BC0826">
        <w:rPr>
          <w:b/>
        </w:rPr>
        <w:t xml:space="preserve">ell type (i.e. </w:t>
      </w:r>
      <w:r w:rsidR="00E16A39">
        <w:rPr>
          <w:b/>
        </w:rPr>
        <w:t xml:space="preserve">TN or </w:t>
      </w:r>
      <w:r w:rsidR="00BC0826">
        <w:rPr>
          <w:b/>
        </w:rPr>
        <w:t>NTN</w:t>
      </w:r>
      <w:r w:rsidR="00CC653B" w:rsidRPr="00CC653B">
        <w:rPr>
          <w:b/>
        </w:rPr>
        <w:t>) of a neighbor cell can be indicated explicitly in system information for cell measurement</w:t>
      </w:r>
      <w:r w:rsidRPr="00CB4772">
        <w:rPr>
          <w:b/>
        </w:rPr>
        <w:t>.</w:t>
      </w:r>
    </w:p>
    <w:p w14:paraId="0A865A6E" w14:textId="7EB151A3" w:rsidR="006B46F5" w:rsidRDefault="006B46F5" w:rsidP="006B46F5">
      <w:pPr>
        <w:pStyle w:val="Heading3"/>
      </w:pPr>
      <w:r>
        <w:t>Assistance information for TN coverage</w:t>
      </w:r>
    </w:p>
    <w:p w14:paraId="2EEC6069" w14:textId="79D8BAE2" w:rsidR="001E5E26" w:rsidRDefault="001E5E26" w:rsidP="0062410C">
      <w:pPr>
        <w:jc w:val="both"/>
      </w:pPr>
      <w:r>
        <w:t>Another discussed issue is how to provide assistance information for UE to identify an area covered by TN [2]</w:t>
      </w:r>
      <w:r w:rsidR="00702693">
        <w:t>.</w:t>
      </w:r>
      <w:r>
        <w:t xml:space="preserve"> </w:t>
      </w:r>
    </w:p>
    <w:p w14:paraId="49BE4213" w14:textId="77777777"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sidRPr="001E5E26">
        <w:rPr>
          <w:i/>
          <w:lang w:val="en-GB"/>
        </w:rPr>
        <w:lastRenderedPageBreak/>
        <w:t>Proposal 8: Regarding the Assistance information for UE to identify an area where TN network is available, the following options can be further discussed:</w:t>
      </w:r>
    </w:p>
    <w:p w14:paraId="22F9A64D" w14:textId="43A9CEBF"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1. </w:t>
      </w:r>
      <w:r w:rsidRPr="001E5E26">
        <w:rPr>
          <w:i/>
          <w:lang w:val="en-GB"/>
        </w:rPr>
        <w:t>The cell center and cell radius of TN neighbour cells, or in other terms, the reference location and a distance threshold of TN neighbour cells</w:t>
      </w:r>
    </w:p>
    <w:p w14:paraId="5E6D91D1" w14:textId="3D241245"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2. </w:t>
      </w:r>
      <w:r w:rsidRPr="001E5E26">
        <w:rPr>
          <w:i/>
          <w:lang w:val="en-GB"/>
        </w:rPr>
        <w:t>The boundary line between TN area and NTN area</w:t>
      </w:r>
    </w:p>
    <w:p w14:paraId="2C7FE175" w14:textId="47CDBA47"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3. </w:t>
      </w:r>
      <w:r w:rsidRPr="001E5E26">
        <w:rPr>
          <w:i/>
          <w:lang w:val="en-GB"/>
        </w:rPr>
        <w:t>For quasi-earth fixed cells, TN coverage is described by a distance range from the cell center and an angle range based on a reference direction</w:t>
      </w:r>
    </w:p>
    <w:p w14:paraId="40F919E0" w14:textId="1BAE3C2C"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4. </w:t>
      </w:r>
      <w:r w:rsidRPr="001E5E26">
        <w:rPr>
          <w:i/>
          <w:lang w:val="en-GB"/>
        </w:rPr>
        <w:t>An indication could be included in system information to indicate NTN cell’s coverage overlaps with terrestrial TN cell’s coverage</w:t>
      </w:r>
    </w:p>
    <w:p w14:paraId="2F626E15" w14:textId="521AA6D5"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5. </w:t>
      </w:r>
      <w:r w:rsidRPr="001E5E26">
        <w:rPr>
          <w:i/>
          <w:lang w:val="en-GB"/>
        </w:rPr>
        <w:t>NTN cell can be divided to several virtual areas based on certain criteria. The virtual areas and the corresponding TN frequency information are broadcast as assistance information to help UE perform more accurate TN measurements.</w:t>
      </w:r>
    </w:p>
    <w:p w14:paraId="28A68A36" w14:textId="3A85E240" w:rsidR="001E5E26" w:rsidRPr="001E5E26" w:rsidRDefault="001E5E26" w:rsidP="00AC1F4D">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6. </w:t>
      </w:r>
      <w:r w:rsidRPr="001E5E26">
        <w:rPr>
          <w:i/>
          <w:lang w:val="en-GB"/>
        </w:rPr>
        <w:t>Introduce a parameter using the polygon shape captured in TS 23.032 to describe the coverage area of a TN neighbour cell.</w:t>
      </w:r>
    </w:p>
    <w:p w14:paraId="1D477D6A" w14:textId="688A8F3D" w:rsidR="004D0C51" w:rsidRDefault="00695FBA" w:rsidP="0062410C">
      <w:pPr>
        <w:jc w:val="both"/>
      </w:pPr>
      <w:r>
        <w:t>Regarding the</w:t>
      </w:r>
      <w:r w:rsidR="004D0C51">
        <w:t xml:space="preserve"> assistance information, we think it’s not necessary to provide highly accurate TN coverage area, and </w:t>
      </w:r>
      <w:r>
        <w:t>it’s</w:t>
      </w:r>
      <w:r w:rsidR="004D0C51">
        <w:t xml:space="preserve"> sufficient to make sure UE know TN coverage is nearby </w:t>
      </w:r>
      <w:r w:rsidR="007831D3">
        <w:t>so that</w:t>
      </w:r>
      <w:r w:rsidR="004D0C51">
        <w:t xml:space="preserve"> TN neighbor cell measurement</w:t>
      </w:r>
      <w:r w:rsidR="007831D3">
        <w:t xml:space="preserve"> can be initiated</w:t>
      </w:r>
      <w:r w:rsidR="004D0C51">
        <w:t xml:space="preserve">. </w:t>
      </w:r>
    </w:p>
    <w:p w14:paraId="26A6180A" w14:textId="361A69F3" w:rsidR="005D38C4" w:rsidRPr="005D38C4" w:rsidRDefault="005D38C4" w:rsidP="0062410C">
      <w:pPr>
        <w:jc w:val="both"/>
        <w:rPr>
          <w:b/>
        </w:rPr>
      </w:pPr>
      <w:r w:rsidRPr="005D38C4">
        <w:rPr>
          <w:b/>
        </w:rPr>
        <w:t xml:space="preserve">Observation </w:t>
      </w:r>
      <w:r w:rsidR="00A07140">
        <w:rPr>
          <w:b/>
        </w:rPr>
        <w:t>5</w:t>
      </w:r>
      <w:r w:rsidRPr="005D38C4">
        <w:rPr>
          <w:b/>
        </w:rPr>
        <w:t>: For UE to determine a TN area, highly accurate TN coverage information</w:t>
      </w:r>
      <w:r w:rsidR="00FB3D1B">
        <w:rPr>
          <w:b/>
        </w:rPr>
        <w:t xml:space="preserve"> is not necessary</w:t>
      </w:r>
      <w:r w:rsidRPr="005D38C4">
        <w:rPr>
          <w:b/>
        </w:rPr>
        <w:t>.</w:t>
      </w:r>
    </w:p>
    <w:p w14:paraId="51E52BD3" w14:textId="2E3B0029" w:rsidR="00FB7DA0" w:rsidRDefault="004D0C51" w:rsidP="0062410C">
      <w:pPr>
        <w:jc w:val="both"/>
      </w:pPr>
      <w:r>
        <w:t xml:space="preserve">For option 1, we think the reference location and </w:t>
      </w:r>
      <w:r w:rsidR="005F56A2">
        <w:t xml:space="preserve">the </w:t>
      </w:r>
      <w:r>
        <w:t xml:space="preserve">associated distance threshold </w:t>
      </w:r>
      <w:r w:rsidR="00B41C3C">
        <w:t>can provide appropriate accuracy without too much overhead. T</w:t>
      </w:r>
      <w:r>
        <w:t xml:space="preserve">he UE can know TN is available from the reference location and within the distance threshold. </w:t>
      </w:r>
      <w:r w:rsidR="00A70362">
        <w:t xml:space="preserve">However, cell center and cell radius should not be broadcasted </w:t>
      </w:r>
      <w:r w:rsidR="002C5580">
        <w:t>due to</w:t>
      </w:r>
      <w:r w:rsidR="00A70362">
        <w:t xml:space="preserve"> security</w:t>
      </w:r>
      <w:r w:rsidR="002C5580">
        <w:t xml:space="preserve"> concern</w:t>
      </w:r>
      <w:r w:rsidR="00A70362">
        <w:t xml:space="preserve">. Instead, </w:t>
      </w:r>
      <w:r w:rsidR="005F56A2">
        <w:t xml:space="preserve">the network can indicate </w:t>
      </w:r>
      <w:r w:rsidR="002A629B">
        <w:t>any point</w:t>
      </w:r>
      <w:r w:rsidR="00A70362">
        <w:t xml:space="preserve"> inside or outside the serving NTN cell</w:t>
      </w:r>
      <w:r w:rsidR="005F56A2">
        <w:t xml:space="preserve"> as the reference location </w:t>
      </w:r>
      <w:r w:rsidR="00604D20">
        <w:t xml:space="preserve">and the associated distance threshold indicates a range within which TN is available, but not </w:t>
      </w:r>
      <w:r w:rsidR="007171D0">
        <w:t>reveal</w:t>
      </w:r>
      <w:r w:rsidR="00604D20">
        <w:t>ing</w:t>
      </w:r>
      <w:r w:rsidR="004C2EC3">
        <w:t xml:space="preserve"> the</w:t>
      </w:r>
      <w:r w:rsidR="007171D0">
        <w:t xml:space="preserve"> exact TN cell location</w:t>
      </w:r>
      <w:r w:rsidR="00A70362">
        <w:t>.</w:t>
      </w:r>
    </w:p>
    <w:p w14:paraId="50C1F2C5" w14:textId="3B8B5DDD" w:rsidR="00626AEC" w:rsidRDefault="00FB7DA0" w:rsidP="0062410C">
      <w:pPr>
        <w:jc w:val="both"/>
      </w:pPr>
      <w:r>
        <w:t xml:space="preserve">For option 2, the boundary line has to be indicated by multiple location coordinates. If only a single boundary line between TN area and NTN area </w:t>
      </w:r>
      <w:r w:rsidR="00037861">
        <w:t>is provided, the range for UE to search for TN cells can be too large. So indicating</w:t>
      </w:r>
      <w:r>
        <w:t xml:space="preserve"> the TN coverage area may need multiple boundary lines which may </w:t>
      </w:r>
      <w:r w:rsidR="00037861">
        <w:t>cause too much</w:t>
      </w:r>
      <w:r>
        <w:t xml:space="preserve"> overhead</w:t>
      </w:r>
      <w:r w:rsidR="00037861">
        <w:t xml:space="preserve">. </w:t>
      </w:r>
    </w:p>
    <w:p w14:paraId="6C9CA925" w14:textId="25B22E91" w:rsidR="00626AEC" w:rsidRDefault="00626AEC" w:rsidP="0062410C">
      <w:pPr>
        <w:jc w:val="both"/>
      </w:pPr>
      <w:r>
        <w:t>For option 3, the parameters to be provided include the cell center, a distance range, a reference direction, and an angle range. We understand this option use the cell center as a reference to indicate TN area. However, indicating multiple parameters requires more overhead compared to option 1.</w:t>
      </w:r>
    </w:p>
    <w:p w14:paraId="12186075" w14:textId="77777777" w:rsidR="00F42330" w:rsidRDefault="00F42330" w:rsidP="0062410C">
      <w:pPr>
        <w:jc w:val="both"/>
      </w:pPr>
      <w:r>
        <w:t>For option 4, only indicating that the NTN cell’s coverage is overlapping with TN does not help UE reduce TN cell searching effort since the NTN cell coverage can be quite large. Thus, additional information is needed.</w:t>
      </w:r>
    </w:p>
    <w:p w14:paraId="3FB1420C" w14:textId="5C8E28C2" w:rsidR="00F42330" w:rsidRDefault="00F42330" w:rsidP="0062410C">
      <w:pPr>
        <w:jc w:val="both"/>
      </w:pPr>
      <w:r>
        <w:t>For option 5, how to indicate the virtual area is the key issue. One can consider to pre-configure area division rules and bit mapping rules. But it may not work for earth-moving cell</w:t>
      </w:r>
      <w:r w:rsidR="006206E3">
        <w:t>,</w:t>
      </w:r>
      <w:r>
        <w:t xml:space="preserve"> for which the pre-configured rule</w:t>
      </w:r>
      <w:r w:rsidR="000C18BA">
        <w:t>s</w:t>
      </w:r>
      <w:r>
        <w:t xml:space="preserve"> may not hold for moving coverage area. Another </w:t>
      </w:r>
      <w:r w:rsidR="00303427">
        <w:t>proposed solution</w:t>
      </w:r>
      <w:r>
        <w:t xml:space="preserve"> is to indicate the center point and radius for each virtual area</w:t>
      </w:r>
      <w:r w:rsidR="00303427">
        <w:t>. For each NTN cell, the virtual area information has to be provided for new</w:t>
      </w:r>
      <w:r w:rsidR="008C7DE0">
        <w:t>ly camped</w:t>
      </w:r>
      <w:r w:rsidR="00303427">
        <w:t xml:space="preserve"> UEs</w:t>
      </w:r>
      <w:r w:rsidR="006206E3">
        <w:t xml:space="preserve"> and updated over time especially for the earth-moving cell</w:t>
      </w:r>
      <w:r w:rsidR="00303427">
        <w:t>. From this aspect, we think option 5 requires more overhead than option 1 since by option 1 only area</w:t>
      </w:r>
      <w:r w:rsidR="002B7736">
        <w:t>s</w:t>
      </w:r>
      <w:r w:rsidR="00303427">
        <w:t xml:space="preserve"> covered by TN </w:t>
      </w:r>
      <w:r w:rsidR="002B7736">
        <w:t>need to be</w:t>
      </w:r>
      <w:r w:rsidR="00303427">
        <w:t xml:space="preserve"> indicated. </w:t>
      </w:r>
    </w:p>
    <w:p w14:paraId="06191F5A" w14:textId="4832B42F" w:rsidR="00FB7DA0" w:rsidRDefault="00626AEC" w:rsidP="0062410C">
      <w:pPr>
        <w:jc w:val="both"/>
      </w:pPr>
      <w:r>
        <w:t>For option 6</w:t>
      </w:r>
      <w:r w:rsidR="00037861">
        <w:t xml:space="preserve">, the polygon shape is indicated by a set of </w:t>
      </w:r>
      <w:r w:rsidR="008E199E">
        <w:t>point</w:t>
      </w:r>
      <w:r w:rsidR="00037861">
        <w:t xml:space="preserve">s with a certain order. </w:t>
      </w:r>
      <w:r>
        <w:t>The UE can know the boundary of TN area by</w:t>
      </w:r>
      <w:r w:rsidR="00037861">
        <w:t xml:space="preserve"> </w:t>
      </w:r>
      <w:r>
        <w:t>connecting the po</w:t>
      </w:r>
      <w:r w:rsidR="000C18BA">
        <w:t>ints in the</w:t>
      </w:r>
      <w:r>
        <w:t xml:space="preserve"> fixed order. However, similar to option 2, indicating a set of coordinates may also </w:t>
      </w:r>
      <w:r w:rsidR="008E199E">
        <w:t>require</w:t>
      </w:r>
      <w:r>
        <w:t xml:space="preserve"> large overhead</w:t>
      </w:r>
      <w:r w:rsidR="008E199E">
        <w:t xml:space="preserve"> for unnecessary accuracy</w:t>
      </w:r>
      <w:r>
        <w:t xml:space="preserve">. </w:t>
      </w:r>
    </w:p>
    <w:p w14:paraId="5A264669" w14:textId="035E288D" w:rsidR="00D92893" w:rsidRDefault="00D92893" w:rsidP="0062410C">
      <w:pPr>
        <w:jc w:val="both"/>
      </w:pPr>
      <w:r>
        <w:t xml:space="preserve">Based on the above analysis, we think </w:t>
      </w:r>
      <w:r w:rsidR="009510B8">
        <w:t xml:space="preserve">the </w:t>
      </w:r>
      <w:r>
        <w:t xml:space="preserve">reference location and </w:t>
      </w:r>
      <w:r w:rsidR="005C5E13">
        <w:t xml:space="preserve">the </w:t>
      </w:r>
      <w:r>
        <w:t xml:space="preserve">associated distance threshold is the best among all options, which can provide sufficient accuracy </w:t>
      </w:r>
      <w:r w:rsidR="007627D9">
        <w:t xml:space="preserve">on TN area </w:t>
      </w:r>
      <w:r>
        <w:t xml:space="preserve">without too much overhead and also aligns with the Rel-17 distance-based measurement initiation mechanism. </w:t>
      </w:r>
    </w:p>
    <w:p w14:paraId="308BA0A9" w14:textId="74E49FAC" w:rsidR="00E4283F" w:rsidRDefault="00E4283F" w:rsidP="00E4283F">
      <w:pPr>
        <w:jc w:val="both"/>
        <w:rPr>
          <w:b/>
        </w:rPr>
      </w:pPr>
      <w:r>
        <w:rPr>
          <w:b/>
        </w:rPr>
        <w:t>Proposal</w:t>
      </w:r>
      <w:r w:rsidRPr="00CB4772">
        <w:rPr>
          <w:b/>
        </w:rPr>
        <w:t xml:space="preserve"> </w:t>
      </w:r>
      <w:r w:rsidR="00B46556">
        <w:rPr>
          <w:b/>
        </w:rPr>
        <w:t>5</w:t>
      </w:r>
      <w:r w:rsidRPr="00CB4772">
        <w:rPr>
          <w:b/>
        </w:rPr>
        <w:t xml:space="preserve">: </w:t>
      </w:r>
      <w:r>
        <w:rPr>
          <w:b/>
        </w:rPr>
        <w:t xml:space="preserve">For TN cell measurement, </w:t>
      </w:r>
      <w:r w:rsidRPr="00E4283F">
        <w:rPr>
          <w:b/>
        </w:rPr>
        <w:t>the reference location and a distance threshold</w:t>
      </w:r>
      <w:r>
        <w:rPr>
          <w:b/>
        </w:rPr>
        <w:t xml:space="preserve"> is pro</w:t>
      </w:r>
      <w:r w:rsidR="004360EB">
        <w:rPr>
          <w:b/>
        </w:rPr>
        <w:t xml:space="preserve">vided for UE to determine a TN available </w:t>
      </w:r>
      <w:r>
        <w:rPr>
          <w:b/>
        </w:rPr>
        <w:t>area</w:t>
      </w:r>
      <w:r w:rsidRPr="00CB4772">
        <w:rPr>
          <w:b/>
        </w:rPr>
        <w:t>.</w:t>
      </w:r>
    </w:p>
    <w:p w14:paraId="629FD0D4" w14:textId="68271661" w:rsidR="005957E1" w:rsidRDefault="007F742E" w:rsidP="005957E1">
      <w:pPr>
        <w:pStyle w:val="Heading2"/>
      </w:pPr>
      <w:r>
        <w:lastRenderedPageBreak/>
        <w:t>Location</w:t>
      </w:r>
      <w:r w:rsidR="005957E1">
        <w:t>-based cell reselection criteria</w:t>
      </w:r>
    </w:p>
    <w:p w14:paraId="518B123F" w14:textId="3E21010B" w:rsidR="007F742E" w:rsidRDefault="007F742E" w:rsidP="007F742E">
      <w:pPr>
        <w:jc w:val="both"/>
      </w:pPr>
      <w:r>
        <w:t xml:space="preserve">In Rel-17 NTN, time-based and location-based measurement initiation for cell reselection are introduced. The location-based cell reselection criteria were discussed but not supported. Although there was no convergence in Rel-17, we do see a need of location-based cell reselection criteria based on distance-based cell ranking as benefits were clarified during SI phase and RRC connected UEs have similar location-based CHO in mobility. </w:t>
      </w:r>
    </w:p>
    <w:p w14:paraId="5F47DE2A" w14:textId="6847F1B2" w:rsidR="007F742E" w:rsidRDefault="007F742E" w:rsidP="007F742E">
      <w:pPr>
        <w:jc w:val="both"/>
        <w:rPr>
          <w:b/>
        </w:rPr>
      </w:pPr>
      <w:r w:rsidRPr="00CB4772">
        <w:rPr>
          <w:b/>
        </w:rPr>
        <w:t xml:space="preserve">Observation </w:t>
      </w:r>
      <w:r>
        <w:rPr>
          <w:b/>
        </w:rPr>
        <w:t>6</w:t>
      </w:r>
      <w:r w:rsidRPr="00CB4772">
        <w:rPr>
          <w:b/>
        </w:rPr>
        <w:t xml:space="preserve">: </w:t>
      </w:r>
      <w:r>
        <w:rPr>
          <w:b/>
        </w:rPr>
        <w:t xml:space="preserve">Location-based cell reselection criteria need to be introduced to compensate legacy cell reselection criterion and to align with RRC connected UE mobility. </w:t>
      </w:r>
    </w:p>
    <w:p w14:paraId="72D1587A" w14:textId="68D8D576" w:rsidR="005957E1" w:rsidRPr="005957E1" w:rsidRDefault="007F742E" w:rsidP="007F742E">
      <w:pPr>
        <w:rPr>
          <w:lang w:val="en-GB" w:eastAsia="en-US"/>
        </w:rPr>
      </w:pPr>
      <w:r>
        <w:rPr>
          <w:b/>
        </w:rPr>
        <w:t xml:space="preserve">Proposal </w:t>
      </w:r>
      <w:r w:rsidR="00B46556">
        <w:rPr>
          <w:b/>
        </w:rPr>
        <w:t>6</w:t>
      </w:r>
      <w:r>
        <w:rPr>
          <w:b/>
        </w:rPr>
        <w:t>: RAN2 to resume discussion on location-based cell reselection criteria.</w:t>
      </w:r>
    </w:p>
    <w:p w14:paraId="4DEDA288" w14:textId="05A84CA1" w:rsidR="005957E1" w:rsidRDefault="005957E1" w:rsidP="005957E1">
      <w:pPr>
        <w:pStyle w:val="Heading2"/>
      </w:pPr>
      <w:r>
        <w:t>NTN</w:t>
      </w:r>
      <w:r w:rsidR="002D2B20">
        <w:t>-specific</w:t>
      </w:r>
      <w:r>
        <w:t xml:space="preserve"> relaxed measurement rule</w:t>
      </w:r>
    </w:p>
    <w:p w14:paraId="09DB9445" w14:textId="46091870" w:rsidR="005957E1" w:rsidRDefault="005957E1" w:rsidP="005957E1">
      <w:pPr>
        <w:jc w:val="both"/>
      </w:pPr>
      <w:r>
        <w:t>For cell reselection in TN, i</w:t>
      </w:r>
      <w:r w:rsidRPr="00A06DB0">
        <w:t xml:space="preserve">f the UE supports relaxed measurement and </w:t>
      </w:r>
      <w:r w:rsidRPr="00A06DB0">
        <w:rPr>
          <w:i/>
        </w:rPr>
        <w:t>relaxedMeasurement</w:t>
      </w:r>
      <w:r w:rsidRPr="00A06DB0">
        <w:t xml:space="preserve"> is present in SIB2, the UE may further relax the needed measurements </w:t>
      </w:r>
      <w:r>
        <w:t xml:space="preserve">according to the relaxed measurement specified in TS 38.133. To apply relaxed measurement, the UE follows the relaxed measurement rule in addition to the measure rules for intra-frequency, inter-frequency, and inter-RAT measurement. In the relaxed measurement rule specified in TS 38.304, the criteria for UE in low mobility and for UE not at cell edge are applied. These criteria are specified based on the variation of measured signal strength. For cell reselection in NTN, relaxed measurement is supported for GEO in TS 38.133. </w:t>
      </w:r>
    </w:p>
    <w:p w14:paraId="47D3C8D9" w14:textId="727C9D8E" w:rsidR="005957E1" w:rsidRPr="00A479F1" w:rsidRDefault="005957E1" w:rsidP="005957E1">
      <w:pPr>
        <w:jc w:val="both"/>
        <w:rPr>
          <w:b/>
        </w:rPr>
      </w:pPr>
      <w:r>
        <w:rPr>
          <w:b/>
        </w:rPr>
        <w:t xml:space="preserve">Observation </w:t>
      </w:r>
      <w:r w:rsidR="007F742E">
        <w:rPr>
          <w:b/>
        </w:rPr>
        <w:t>7</w:t>
      </w:r>
      <w:r>
        <w:rPr>
          <w:b/>
        </w:rPr>
        <w:t>: For NTN, relaxed measurement for cell reselection is supported for GEO.</w:t>
      </w:r>
    </w:p>
    <w:p w14:paraId="22CD0600" w14:textId="77777777" w:rsidR="005957E1" w:rsidRPr="00D340F4" w:rsidRDefault="005957E1" w:rsidP="005957E1">
      <w:pPr>
        <w:jc w:val="both"/>
      </w:pPr>
      <w:r>
        <w:t>However, the TN relaxed measurement rule and criteria for UE in low mobility and for UE not at cell edge may not be applicable to NTN relaxed measurement since the principle of TN criteria is to check the variation of the received signal strength. For NTN, due to the large propagation distance, the strength variation of received signal at cell center and at cell edge or during UE movement can be small, especially for GEO. Therefore, NTN-specific relaxed measurement rule and criteria for UE in low mobility and not at cell edge need to be specified.</w:t>
      </w:r>
    </w:p>
    <w:p w14:paraId="75A9B041" w14:textId="542B5CAC" w:rsidR="005957E1" w:rsidRPr="007F742E" w:rsidRDefault="005957E1" w:rsidP="007F742E">
      <w:pPr>
        <w:jc w:val="both"/>
      </w:pPr>
      <w:r>
        <w:rPr>
          <w:b/>
        </w:rPr>
        <w:t xml:space="preserve">Proposal </w:t>
      </w:r>
      <w:r w:rsidR="00B46556">
        <w:rPr>
          <w:b/>
        </w:rPr>
        <w:t>7</w:t>
      </w:r>
      <w:r w:rsidRPr="00D64B1C">
        <w:rPr>
          <w:b/>
        </w:rPr>
        <w:t xml:space="preserve">: </w:t>
      </w:r>
      <w:r>
        <w:rPr>
          <w:b/>
        </w:rPr>
        <w:t>RAN2 to study NTN-specific relaxed measurement rule/criteria</w:t>
      </w:r>
      <w:r w:rsidRPr="00D64B1C">
        <w:rPr>
          <w:b/>
        </w:rPr>
        <w:t>.</w:t>
      </w:r>
    </w:p>
    <w:p w14:paraId="5FF2457F" w14:textId="72E1A9E3" w:rsidR="00A209D6" w:rsidRPr="006E13D1" w:rsidRDefault="008C3057" w:rsidP="003F11FC">
      <w:pPr>
        <w:pStyle w:val="Heading1"/>
        <w:jc w:val="both"/>
      </w:pPr>
      <w:r>
        <w:t>Conclusion</w:t>
      </w:r>
    </w:p>
    <w:p w14:paraId="445AE997" w14:textId="52064629" w:rsidR="007129D3" w:rsidRDefault="00557338" w:rsidP="008C3BA0">
      <w:r w:rsidRPr="00737B6B">
        <w:t xml:space="preserve">Based on the discussion, </w:t>
      </w:r>
      <w:r w:rsidR="000D64F1" w:rsidRPr="00737B6B">
        <w:t xml:space="preserve">we have </w:t>
      </w:r>
      <w:r w:rsidRPr="00737B6B">
        <w:t xml:space="preserve">the following </w:t>
      </w:r>
      <w:r w:rsidR="00593C4B">
        <w:t xml:space="preserve">observations and </w:t>
      </w:r>
      <w:r w:rsidR="003F3214">
        <w:t>proposal</w:t>
      </w:r>
      <w:r w:rsidR="00593C4B">
        <w:t>s</w:t>
      </w:r>
      <w:r w:rsidRPr="00737B6B">
        <w:t>.</w:t>
      </w:r>
    </w:p>
    <w:p w14:paraId="4E9B5C14" w14:textId="77777777" w:rsidR="0084515E" w:rsidRDefault="0084515E" w:rsidP="0084515E">
      <w:pPr>
        <w:rPr>
          <w:b/>
        </w:rPr>
      </w:pPr>
      <w:r>
        <w:rPr>
          <w:b/>
        </w:rPr>
        <w:t>Observation 1: H</w:t>
      </w:r>
      <w:r w:rsidRPr="00A07140">
        <w:rPr>
          <w:b/>
        </w:rPr>
        <w:t>ow the beam footprint is moving w.r.t. the satellite may depend on satellite orbit, ephemeris, how the satellite beam is steered, etc</w:t>
      </w:r>
      <w:r>
        <w:rPr>
          <w:b/>
        </w:rPr>
        <w:t>.</w:t>
      </w:r>
    </w:p>
    <w:p w14:paraId="4C55234F" w14:textId="7491C0F7" w:rsidR="00A07140" w:rsidRDefault="00A07140" w:rsidP="008C3BA0">
      <w:pPr>
        <w:rPr>
          <w:b/>
        </w:rPr>
      </w:pPr>
      <w:r w:rsidRPr="00217633">
        <w:rPr>
          <w:b/>
        </w:rPr>
        <w:t xml:space="preserve">Observation </w:t>
      </w:r>
      <w:r w:rsidR="0084515E">
        <w:rPr>
          <w:b/>
        </w:rPr>
        <w:t>2</w:t>
      </w:r>
      <w:r w:rsidRPr="00217633">
        <w:rPr>
          <w:b/>
        </w:rPr>
        <w:t xml:space="preserve">: NW cannot provide the reference location in a timely manner </w:t>
      </w:r>
      <w:r>
        <w:rPr>
          <w:b/>
        </w:rPr>
        <w:t xml:space="preserve">only </w:t>
      </w:r>
      <w:r w:rsidRPr="00217633">
        <w:rPr>
          <w:b/>
        </w:rPr>
        <w:t xml:space="preserve">by updating </w:t>
      </w:r>
      <w:r>
        <w:rPr>
          <w:b/>
        </w:rPr>
        <w:t xml:space="preserve">location </w:t>
      </w:r>
      <w:r w:rsidRPr="00217633">
        <w:rPr>
          <w:b/>
        </w:rPr>
        <w:t>coordinates according to SI periodicity</w:t>
      </w:r>
      <w:r w:rsidR="00871D08">
        <w:rPr>
          <w:b/>
        </w:rPr>
        <w:t>, additional information is needed</w:t>
      </w:r>
      <w:r>
        <w:rPr>
          <w:b/>
        </w:rPr>
        <w:t>.</w:t>
      </w:r>
    </w:p>
    <w:p w14:paraId="5D647940" w14:textId="4D1F5DE2" w:rsidR="0084515E" w:rsidRDefault="0084515E" w:rsidP="008C3BA0">
      <w:pPr>
        <w:rPr>
          <w:b/>
        </w:rPr>
      </w:pPr>
      <w:r w:rsidRPr="00CB4772">
        <w:rPr>
          <w:b/>
        </w:rPr>
        <w:t xml:space="preserve">Observation </w:t>
      </w:r>
      <w:r>
        <w:rPr>
          <w:b/>
        </w:rPr>
        <w:t>3</w:t>
      </w:r>
      <w:r w:rsidRPr="00CB4772">
        <w:rPr>
          <w:b/>
        </w:rPr>
        <w:t xml:space="preserve">: </w:t>
      </w:r>
      <w:r>
        <w:rPr>
          <w:b/>
        </w:rPr>
        <w:t>For HAPS and TN and NTN co-existence, there are overlapping TN band and NTN band using same frequency band number</w:t>
      </w:r>
      <w:r w:rsidRPr="00CB4772">
        <w:rPr>
          <w:b/>
        </w:rPr>
        <w:t>.</w:t>
      </w:r>
    </w:p>
    <w:p w14:paraId="47618C7B" w14:textId="4D311947" w:rsidR="0084515E" w:rsidRDefault="0084515E" w:rsidP="008C3BA0">
      <w:pPr>
        <w:rPr>
          <w:b/>
        </w:rPr>
      </w:pPr>
      <w:r w:rsidRPr="00F41A62">
        <w:rPr>
          <w:b/>
        </w:rPr>
        <w:t xml:space="preserve">Observation </w:t>
      </w:r>
      <w:r>
        <w:rPr>
          <w:b/>
        </w:rPr>
        <w:t>4</w:t>
      </w:r>
      <w:r w:rsidRPr="00F41A62">
        <w:rPr>
          <w:b/>
        </w:rPr>
        <w:t>: The UE cannot know the cell type (i.e., TN or NTN) from the serving cell’s system info</w:t>
      </w:r>
      <w:r>
        <w:rPr>
          <w:b/>
        </w:rPr>
        <w:t>rmation when</w:t>
      </w:r>
      <w:r w:rsidRPr="00F41A62">
        <w:rPr>
          <w:b/>
        </w:rPr>
        <w:t xml:space="preserve"> the neighbor cell’s satellite assistance information is not provided.</w:t>
      </w:r>
    </w:p>
    <w:p w14:paraId="52B1084C" w14:textId="3B9A7410" w:rsidR="0084515E" w:rsidRDefault="0084515E" w:rsidP="008C3BA0">
      <w:pPr>
        <w:rPr>
          <w:b/>
        </w:rPr>
      </w:pPr>
      <w:r w:rsidRPr="005D38C4">
        <w:rPr>
          <w:b/>
        </w:rPr>
        <w:t xml:space="preserve">Observation </w:t>
      </w:r>
      <w:r>
        <w:rPr>
          <w:b/>
        </w:rPr>
        <w:t>5</w:t>
      </w:r>
      <w:r w:rsidRPr="005D38C4">
        <w:rPr>
          <w:b/>
        </w:rPr>
        <w:t>: For UE to determine a TN area, highly accurate TN coverage information</w:t>
      </w:r>
      <w:r w:rsidR="0095330B">
        <w:rPr>
          <w:b/>
        </w:rPr>
        <w:t xml:space="preserve"> is not necessary</w:t>
      </w:r>
      <w:r w:rsidRPr="005D38C4">
        <w:rPr>
          <w:b/>
        </w:rPr>
        <w:t>.</w:t>
      </w:r>
    </w:p>
    <w:p w14:paraId="10D667A8" w14:textId="77777777" w:rsidR="007F742E" w:rsidRDefault="007F742E" w:rsidP="007F742E">
      <w:pPr>
        <w:jc w:val="both"/>
        <w:rPr>
          <w:b/>
        </w:rPr>
      </w:pPr>
      <w:r w:rsidRPr="00CB4772">
        <w:rPr>
          <w:b/>
        </w:rPr>
        <w:t xml:space="preserve">Observation </w:t>
      </w:r>
      <w:r>
        <w:rPr>
          <w:b/>
        </w:rPr>
        <w:t>6</w:t>
      </w:r>
      <w:r w:rsidRPr="00CB4772">
        <w:rPr>
          <w:b/>
        </w:rPr>
        <w:t xml:space="preserve">: </w:t>
      </w:r>
      <w:r>
        <w:rPr>
          <w:b/>
        </w:rPr>
        <w:t xml:space="preserve">Location-based cell reselection criteria need to be introduced to compensate legacy cell reselection criterion and to align with RRC connected UE mobility. </w:t>
      </w:r>
    </w:p>
    <w:p w14:paraId="2F635591" w14:textId="30F6B847" w:rsidR="007F742E" w:rsidRDefault="007F742E" w:rsidP="007F742E">
      <w:pPr>
        <w:jc w:val="both"/>
        <w:rPr>
          <w:b/>
        </w:rPr>
      </w:pPr>
      <w:r>
        <w:rPr>
          <w:b/>
        </w:rPr>
        <w:t>Observation 7: For NTN, relaxed measurement for cell reselection is supported for GEO.</w:t>
      </w:r>
    </w:p>
    <w:p w14:paraId="0534F579" w14:textId="0BB0A49D" w:rsidR="00046488" w:rsidRDefault="00910B54" w:rsidP="00046488">
      <w:pPr>
        <w:rPr>
          <w:b/>
        </w:rPr>
      </w:pPr>
      <w:r w:rsidRPr="00332B7D">
        <w:rPr>
          <w:b/>
        </w:rPr>
        <w:t xml:space="preserve">Proposal 1: RAN2 to consider both scenarios for earth moving cell, i.e., static beam w.r.t. moving </w:t>
      </w:r>
      <w:r w:rsidRPr="0007062F">
        <w:rPr>
          <w:b/>
        </w:rPr>
        <w:t>sub-satellite point</w:t>
      </w:r>
      <w:r w:rsidRPr="00332B7D">
        <w:rPr>
          <w:b/>
        </w:rPr>
        <w:t xml:space="preserve"> and moving beam w.r.t. moving </w:t>
      </w:r>
      <w:r w:rsidRPr="0007062F">
        <w:rPr>
          <w:b/>
        </w:rPr>
        <w:t>sub-satellite point</w:t>
      </w:r>
      <w:r w:rsidRPr="00332B7D">
        <w:rPr>
          <w:b/>
        </w:rPr>
        <w:t>.</w:t>
      </w:r>
    </w:p>
    <w:p w14:paraId="5BB9D89B" w14:textId="1E8F1611" w:rsidR="00046488" w:rsidRDefault="00046488" w:rsidP="00046488">
      <w:pPr>
        <w:rPr>
          <w:b/>
        </w:rPr>
      </w:pPr>
      <w:r w:rsidRPr="00332B7D">
        <w:rPr>
          <w:b/>
        </w:rPr>
        <w:t xml:space="preserve">Proposal </w:t>
      </w:r>
      <w:r>
        <w:rPr>
          <w:b/>
        </w:rPr>
        <w:t>2</w:t>
      </w:r>
      <w:r w:rsidRPr="00332B7D">
        <w:rPr>
          <w:b/>
        </w:rPr>
        <w:t xml:space="preserve">: </w:t>
      </w:r>
      <w:r>
        <w:rPr>
          <w:b/>
        </w:rPr>
        <w:t xml:space="preserve">For the earth-moving cell, the </w:t>
      </w:r>
      <w:r w:rsidRPr="0047610A">
        <w:rPr>
          <w:b/>
        </w:rPr>
        <w:t>reference l</w:t>
      </w:r>
      <w:r>
        <w:rPr>
          <w:b/>
        </w:rPr>
        <w:t>ocation coordinates with a timestamp</w:t>
      </w:r>
      <w:r w:rsidRPr="0047610A">
        <w:rPr>
          <w:b/>
        </w:rPr>
        <w:t xml:space="preserve"> and the velocity of reference location</w:t>
      </w:r>
      <w:r>
        <w:rPr>
          <w:b/>
        </w:rPr>
        <w:t xml:space="preserve"> are provided.</w:t>
      </w:r>
    </w:p>
    <w:p w14:paraId="724E4D02" w14:textId="40ED46D4" w:rsidR="00B46556" w:rsidRDefault="00B46556" w:rsidP="00046488">
      <w:pPr>
        <w:rPr>
          <w:b/>
        </w:rPr>
      </w:pPr>
      <w:r w:rsidRPr="00367A75">
        <w:rPr>
          <w:b/>
        </w:rPr>
        <w:lastRenderedPageBreak/>
        <w:t>Proposal 3: For the earth-moving cell, a fixed distance threshold associated with the reference location can be provided for the serving cell.</w:t>
      </w:r>
    </w:p>
    <w:p w14:paraId="03B78E40" w14:textId="49546C94" w:rsidR="00046488" w:rsidRDefault="00046488" w:rsidP="00046488">
      <w:pPr>
        <w:rPr>
          <w:b/>
        </w:rPr>
      </w:pPr>
      <w:r>
        <w:rPr>
          <w:b/>
        </w:rPr>
        <w:t>Proposal</w:t>
      </w:r>
      <w:r w:rsidRPr="00CB4772">
        <w:rPr>
          <w:b/>
        </w:rPr>
        <w:t xml:space="preserve"> </w:t>
      </w:r>
      <w:r w:rsidR="00B46556">
        <w:rPr>
          <w:b/>
        </w:rPr>
        <w:t>4</w:t>
      </w:r>
      <w:r w:rsidRPr="00CB4772">
        <w:rPr>
          <w:b/>
        </w:rPr>
        <w:t xml:space="preserve">: </w:t>
      </w:r>
      <w:r>
        <w:rPr>
          <w:b/>
        </w:rPr>
        <w:t xml:space="preserve">Cell type (i.e. </w:t>
      </w:r>
      <w:r w:rsidR="00D0507F">
        <w:rPr>
          <w:b/>
        </w:rPr>
        <w:t xml:space="preserve">TN or </w:t>
      </w:r>
      <w:r>
        <w:rPr>
          <w:b/>
        </w:rPr>
        <w:t>NTN</w:t>
      </w:r>
      <w:r w:rsidRPr="00CC653B">
        <w:rPr>
          <w:b/>
        </w:rPr>
        <w:t xml:space="preserve">) of a neighbor cell can be indicated explicitly </w:t>
      </w:r>
      <w:bookmarkStart w:id="0" w:name="_GoBack"/>
      <w:bookmarkEnd w:id="0"/>
      <w:r w:rsidRPr="00CC653B">
        <w:rPr>
          <w:b/>
        </w:rPr>
        <w:t>in system information for cell measurement</w:t>
      </w:r>
      <w:r w:rsidRPr="00CB4772">
        <w:rPr>
          <w:b/>
        </w:rPr>
        <w:t>.</w:t>
      </w:r>
    </w:p>
    <w:p w14:paraId="276DEEA6" w14:textId="441BEB23" w:rsidR="0084515E" w:rsidRDefault="0084515E" w:rsidP="008C3BA0">
      <w:pPr>
        <w:rPr>
          <w:b/>
        </w:rPr>
      </w:pPr>
      <w:r>
        <w:rPr>
          <w:b/>
        </w:rPr>
        <w:t>Proposal</w:t>
      </w:r>
      <w:r w:rsidRPr="00CB4772">
        <w:rPr>
          <w:b/>
        </w:rPr>
        <w:t xml:space="preserve"> </w:t>
      </w:r>
      <w:r w:rsidR="00B46556">
        <w:rPr>
          <w:b/>
        </w:rPr>
        <w:t>5</w:t>
      </w:r>
      <w:r w:rsidRPr="00CB4772">
        <w:rPr>
          <w:b/>
        </w:rPr>
        <w:t xml:space="preserve">: </w:t>
      </w:r>
      <w:r>
        <w:rPr>
          <w:b/>
        </w:rPr>
        <w:t xml:space="preserve">For TN cell measurement, </w:t>
      </w:r>
      <w:r w:rsidRPr="00E4283F">
        <w:rPr>
          <w:b/>
        </w:rPr>
        <w:t>the reference location and a distance threshold</w:t>
      </w:r>
      <w:r>
        <w:rPr>
          <w:b/>
        </w:rPr>
        <w:t xml:space="preserve"> is </w:t>
      </w:r>
      <w:r w:rsidR="004360EB">
        <w:rPr>
          <w:b/>
        </w:rPr>
        <w:t xml:space="preserve">provided for UE to determine a </w:t>
      </w:r>
      <w:r>
        <w:rPr>
          <w:b/>
        </w:rPr>
        <w:t xml:space="preserve">TN </w:t>
      </w:r>
      <w:r w:rsidR="004360EB">
        <w:rPr>
          <w:b/>
        </w:rPr>
        <w:t xml:space="preserve">available </w:t>
      </w:r>
      <w:r>
        <w:rPr>
          <w:b/>
        </w:rPr>
        <w:t>area</w:t>
      </w:r>
      <w:r w:rsidRPr="00CB4772">
        <w:rPr>
          <w:b/>
        </w:rPr>
        <w:t>.</w:t>
      </w:r>
    </w:p>
    <w:p w14:paraId="3A74D336" w14:textId="0E0DD8F9" w:rsidR="007F742E" w:rsidRPr="005957E1" w:rsidRDefault="007F742E" w:rsidP="007F742E">
      <w:pPr>
        <w:rPr>
          <w:lang w:val="en-GB" w:eastAsia="en-US"/>
        </w:rPr>
      </w:pPr>
      <w:r>
        <w:rPr>
          <w:b/>
        </w:rPr>
        <w:t xml:space="preserve">Proposal </w:t>
      </w:r>
      <w:r w:rsidR="00B46556">
        <w:rPr>
          <w:b/>
        </w:rPr>
        <w:t>6</w:t>
      </w:r>
      <w:r>
        <w:rPr>
          <w:b/>
        </w:rPr>
        <w:t>: RAN2 to resume discussion on location-based cell reselection criteria.</w:t>
      </w:r>
    </w:p>
    <w:p w14:paraId="14C3E6AA" w14:textId="54017C07" w:rsidR="007F742E" w:rsidRPr="007F742E" w:rsidRDefault="007F742E" w:rsidP="007F742E">
      <w:pPr>
        <w:jc w:val="both"/>
      </w:pPr>
      <w:r>
        <w:rPr>
          <w:b/>
        </w:rPr>
        <w:t xml:space="preserve">Proposal </w:t>
      </w:r>
      <w:r w:rsidR="00B46556">
        <w:rPr>
          <w:b/>
        </w:rPr>
        <w:t>7</w:t>
      </w:r>
      <w:r w:rsidRPr="00D64B1C">
        <w:rPr>
          <w:b/>
        </w:rPr>
        <w:t xml:space="preserve">: </w:t>
      </w:r>
      <w:r>
        <w:rPr>
          <w:b/>
        </w:rPr>
        <w:t>RAN2 to study NTN-specific relaxed measurement rule/criteria</w:t>
      </w:r>
      <w:r w:rsidRPr="00D64B1C">
        <w:rPr>
          <w:b/>
        </w:rPr>
        <w:t>.</w:t>
      </w:r>
    </w:p>
    <w:p w14:paraId="6408D72B" w14:textId="59651DF4" w:rsidR="0083484D" w:rsidRPr="00FF7C4E" w:rsidRDefault="00051DF8" w:rsidP="0083484D">
      <w:pPr>
        <w:pStyle w:val="Heading1"/>
      </w:pPr>
      <w:r>
        <w:t>Reference</w:t>
      </w:r>
      <w:r w:rsidR="0083484D" w:rsidRPr="00001886">
        <w:t xml:space="preserve"> </w:t>
      </w:r>
    </w:p>
    <w:p w14:paraId="35F222F4" w14:textId="0B79910B" w:rsidR="00080512" w:rsidRDefault="00051DF8" w:rsidP="00051DF8">
      <w:r w:rsidRPr="00051DF8">
        <w:t xml:space="preserve">[1] </w:t>
      </w:r>
      <w:r w:rsidR="00313299" w:rsidRPr="00313299">
        <w:t>R2-2210801</w:t>
      </w:r>
      <w:r w:rsidRPr="00051DF8">
        <w:t xml:space="preserve"> </w:t>
      </w:r>
      <w:r w:rsidR="00313299" w:rsidRPr="00313299">
        <w:t>Report from Break-out session on NR-NTN and IoT-NTN</w:t>
      </w:r>
    </w:p>
    <w:p w14:paraId="14A0718F" w14:textId="7F005432" w:rsidR="00BC2317" w:rsidRPr="00051DF8" w:rsidRDefault="00BC2317" w:rsidP="00051DF8">
      <w:r>
        <w:t xml:space="preserve">[2] </w:t>
      </w:r>
      <w:r w:rsidRPr="00BC2317">
        <w:t>R2-22108</w:t>
      </w:r>
      <w:r w:rsidR="00313299">
        <w:t>60</w:t>
      </w:r>
      <w:r w:rsidRPr="00BC2317">
        <w:t xml:space="preserve"> </w:t>
      </w:r>
      <w:r w:rsidR="00313299" w:rsidRPr="00313299">
        <w:t>Report of [AT119bis-e][117][NR NTN Enh] cell reselection enhancements (Intel)</w:t>
      </w:r>
    </w:p>
    <w:sectPr w:rsidR="00BC2317"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4D135" w14:textId="77777777" w:rsidR="0061201C" w:rsidRDefault="0061201C" w:rsidP="00051DF8">
      <w:r>
        <w:separator/>
      </w:r>
    </w:p>
  </w:endnote>
  <w:endnote w:type="continuationSeparator" w:id="0">
    <w:p w14:paraId="411B0662" w14:textId="77777777" w:rsidR="0061201C" w:rsidRDefault="0061201C" w:rsidP="00051DF8">
      <w:r>
        <w:continuationSeparator/>
      </w:r>
    </w:p>
  </w:endnote>
  <w:endnote w:type="continuationNotice" w:id="1">
    <w:p w14:paraId="16EF0929" w14:textId="77777777" w:rsidR="0061201C" w:rsidRDefault="0061201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45CEF" w14:textId="77777777" w:rsidR="0061201C" w:rsidRDefault="0061201C" w:rsidP="00051DF8">
      <w:r>
        <w:separator/>
      </w:r>
    </w:p>
  </w:footnote>
  <w:footnote w:type="continuationSeparator" w:id="0">
    <w:p w14:paraId="71AD632E" w14:textId="77777777" w:rsidR="0061201C" w:rsidRDefault="0061201C" w:rsidP="00051DF8">
      <w:r>
        <w:continuationSeparator/>
      </w:r>
    </w:p>
  </w:footnote>
  <w:footnote w:type="continuationNotice" w:id="1">
    <w:p w14:paraId="02D51048" w14:textId="77777777" w:rsidR="0061201C" w:rsidRDefault="0061201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3"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19"/>
  </w:num>
  <w:num w:numId="7">
    <w:abstractNumId w:val="20"/>
  </w:num>
  <w:num w:numId="8">
    <w:abstractNumId w:val="34"/>
  </w:num>
  <w:num w:numId="9">
    <w:abstractNumId w:val="3"/>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29"/>
  </w:num>
  <w:num w:numId="15">
    <w:abstractNumId w:val="23"/>
  </w:num>
  <w:num w:numId="16">
    <w:abstractNumId w:val="18"/>
  </w:num>
  <w:num w:numId="17">
    <w:abstractNumId w:val="1"/>
  </w:num>
  <w:num w:numId="18">
    <w:abstractNumId w:val="4"/>
  </w:num>
  <w:num w:numId="19">
    <w:abstractNumId w:val="16"/>
  </w:num>
  <w:num w:numId="20">
    <w:abstractNumId w:val="12"/>
  </w:num>
  <w:num w:numId="21">
    <w:abstractNumId w:val="22"/>
  </w:num>
  <w:num w:numId="22">
    <w:abstractNumId w:val="13"/>
  </w:num>
  <w:num w:numId="23">
    <w:abstractNumId w:val="11"/>
  </w:num>
  <w:num w:numId="24">
    <w:abstractNumId w:val="35"/>
  </w:num>
  <w:num w:numId="25">
    <w:abstractNumId w:val="17"/>
  </w:num>
  <w:num w:numId="26">
    <w:abstractNumId w:val="21"/>
  </w:num>
  <w:num w:numId="27">
    <w:abstractNumId w:val="26"/>
  </w:num>
  <w:num w:numId="28">
    <w:abstractNumId w:val="3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6"/>
  </w:num>
  <w:num w:numId="33">
    <w:abstractNumId w:val="32"/>
  </w:num>
  <w:num w:numId="34">
    <w:abstractNumId w:val="28"/>
  </w:num>
  <w:num w:numId="35">
    <w:abstractNumId w:val="24"/>
  </w:num>
  <w:num w:numId="36">
    <w:abstractNumId w:val="7"/>
  </w:num>
  <w:num w:numId="37">
    <w:abstractNumId w:val="33"/>
  </w:num>
  <w:num w:numId="38">
    <w:abstractNumId w:val="10"/>
  </w:num>
  <w:num w:numId="39">
    <w:abstractNumId w:val="27"/>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440"/>
    <w:rsid w:val="00007761"/>
    <w:rsid w:val="00007CAB"/>
    <w:rsid w:val="0001163B"/>
    <w:rsid w:val="00011C8D"/>
    <w:rsid w:val="00013CDB"/>
    <w:rsid w:val="00014BC5"/>
    <w:rsid w:val="000153CC"/>
    <w:rsid w:val="00015950"/>
    <w:rsid w:val="000162E9"/>
    <w:rsid w:val="00016557"/>
    <w:rsid w:val="00022927"/>
    <w:rsid w:val="00023C40"/>
    <w:rsid w:val="000245ED"/>
    <w:rsid w:val="00025377"/>
    <w:rsid w:val="00025423"/>
    <w:rsid w:val="00026BFC"/>
    <w:rsid w:val="00027DC5"/>
    <w:rsid w:val="000302F2"/>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65268"/>
    <w:rsid w:val="0007062F"/>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18BA"/>
    <w:rsid w:val="000C18FE"/>
    <w:rsid w:val="000C2B2C"/>
    <w:rsid w:val="000C522B"/>
    <w:rsid w:val="000C5340"/>
    <w:rsid w:val="000D2E51"/>
    <w:rsid w:val="000D3336"/>
    <w:rsid w:val="000D4B95"/>
    <w:rsid w:val="000D58AB"/>
    <w:rsid w:val="000D64F1"/>
    <w:rsid w:val="000D6E3F"/>
    <w:rsid w:val="000D75DC"/>
    <w:rsid w:val="000E01FF"/>
    <w:rsid w:val="000E11DD"/>
    <w:rsid w:val="000E3934"/>
    <w:rsid w:val="000E4069"/>
    <w:rsid w:val="000E5108"/>
    <w:rsid w:val="000F47BA"/>
    <w:rsid w:val="000F481F"/>
    <w:rsid w:val="000F526A"/>
    <w:rsid w:val="000F57DC"/>
    <w:rsid w:val="000F6A70"/>
    <w:rsid w:val="000F6CE7"/>
    <w:rsid w:val="000F7A11"/>
    <w:rsid w:val="00100327"/>
    <w:rsid w:val="001011C1"/>
    <w:rsid w:val="0010368C"/>
    <w:rsid w:val="00112F1A"/>
    <w:rsid w:val="001141A5"/>
    <w:rsid w:val="0012049E"/>
    <w:rsid w:val="00123AC6"/>
    <w:rsid w:val="00124DD4"/>
    <w:rsid w:val="001261BD"/>
    <w:rsid w:val="00126400"/>
    <w:rsid w:val="00130A42"/>
    <w:rsid w:val="00131BCA"/>
    <w:rsid w:val="0014230B"/>
    <w:rsid w:val="00143363"/>
    <w:rsid w:val="001436BC"/>
    <w:rsid w:val="001446F4"/>
    <w:rsid w:val="00145075"/>
    <w:rsid w:val="001500B8"/>
    <w:rsid w:val="001617E5"/>
    <w:rsid w:val="00165A0D"/>
    <w:rsid w:val="00166728"/>
    <w:rsid w:val="00166BB8"/>
    <w:rsid w:val="00171DA1"/>
    <w:rsid w:val="001741A0"/>
    <w:rsid w:val="00174291"/>
    <w:rsid w:val="00175FA0"/>
    <w:rsid w:val="00180692"/>
    <w:rsid w:val="00182E67"/>
    <w:rsid w:val="00183778"/>
    <w:rsid w:val="001841BF"/>
    <w:rsid w:val="0018515E"/>
    <w:rsid w:val="00185BC1"/>
    <w:rsid w:val="00186138"/>
    <w:rsid w:val="00186370"/>
    <w:rsid w:val="00190972"/>
    <w:rsid w:val="0019158C"/>
    <w:rsid w:val="001921CE"/>
    <w:rsid w:val="00194515"/>
    <w:rsid w:val="00194CD0"/>
    <w:rsid w:val="0019500E"/>
    <w:rsid w:val="001962AF"/>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E5E26"/>
    <w:rsid w:val="001F168B"/>
    <w:rsid w:val="001F7831"/>
    <w:rsid w:val="00204045"/>
    <w:rsid w:val="0020712B"/>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60EC0"/>
    <w:rsid w:val="002610D8"/>
    <w:rsid w:val="00266AF5"/>
    <w:rsid w:val="002675D3"/>
    <w:rsid w:val="002709D8"/>
    <w:rsid w:val="00270A2B"/>
    <w:rsid w:val="00271A19"/>
    <w:rsid w:val="002747EC"/>
    <w:rsid w:val="002815C0"/>
    <w:rsid w:val="002840C7"/>
    <w:rsid w:val="00284E78"/>
    <w:rsid w:val="002855BF"/>
    <w:rsid w:val="00287326"/>
    <w:rsid w:val="00290336"/>
    <w:rsid w:val="00292FC9"/>
    <w:rsid w:val="002945AD"/>
    <w:rsid w:val="00296A41"/>
    <w:rsid w:val="002A3017"/>
    <w:rsid w:val="002A32C4"/>
    <w:rsid w:val="002A3860"/>
    <w:rsid w:val="002A47CF"/>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79BB"/>
    <w:rsid w:val="002F0D22"/>
    <w:rsid w:val="002F12A5"/>
    <w:rsid w:val="002F1345"/>
    <w:rsid w:val="003026A7"/>
    <w:rsid w:val="00303427"/>
    <w:rsid w:val="00305DAA"/>
    <w:rsid w:val="00306241"/>
    <w:rsid w:val="003073B9"/>
    <w:rsid w:val="00307CD6"/>
    <w:rsid w:val="00310541"/>
    <w:rsid w:val="00310D9A"/>
    <w:rsid w:val="00311B17"/>
    <w:rsid w:val="00313299"/>
    <w:rsid w:val="003133F1"/>
    <w:rsid w:val="003172DC"/>
    <w:rsid w:val="0032086B"/>
    <w:rsid w:val="00323D2C"/>
    <w:rsid w:val="003243BA"/>
    <w:rsid w:val="00324E66"/>
    <w:rsid w:val="003255FD"/>
    <w:rsid w:val="00325AE3"/>
    <w:rsid w:val="00326069"/>
    <w:rsid w:val="00327E5D"/>
    <w:rsid w:val="00330C9F"/>
    <w:rsid w:val="00332B7D"/>
    <w:rsid w:val="00333345"/>
    <w:rsid w:val="00335A5E"/>
    <w:rsid w:val="00337C3B"/>
    <w:rsid w:val="003407BE"/>
    <w:rsid w:val="00343806"/>
    <w:rsid w:val="00343819"/>
    <w:rsid w:val="00347B20"/>
    <w:rsid w:val="00350D7C"/>
    <w:rsid w:val="00351CAD"/>
    <w:rsid w:val="00353629"/>
    <w:rsid w:val="0035462D"/>
    <w:rsid w:val="00357118"/>
    <w:rsid w:val="00357272"/>
    <w:rsid w:val="00361D54"/>
    <w:rsid w:val="00363968"/>
    <w:rsid w:val="00364152"/>
    <w:rsid w:val="0036459E"/>
    <w:rsid w:val="00364B41"/>
    <w:rsid w:val="003667FF"/>
    <w:rsid w:val="003676CB"/>
    <w:rsid w:val="00367A75"/>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5AEF"/>
    <w:rsid w:val="003972FF"/>
    <w:rsid w:val="003A133F"/>
    <w:rsid w:val="003A2082"/>
    <w:rsid w:val="003A229C"/>
    <w:rsid w:val="003A41EF"/>
    <w:rsid w:val="003A527F"/>
    <w:rsid w:val="003A565C"/>
    <w:rsid w:val="003A619C"/>
    <w:rsid w:val="003B0769"/>
    <w:rsid w:val="003B2EAB"/>
    <w:rsid w:val="003B40AD"/>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E01A2"/>
    <w:rsid w:val="003E16BE"/>
    <w:rsid w:val="003E17A4"/>
    <w:rsid w:val="003E3F31"/>
    <w:rsid w:val="003E676B"/>
    <w:rsid w:val="003F0729"/>
    <w:rsid w:val="003F11FC"/>
    <w:rsid w:val="003F24B6"/>
    <w:rsid w:val="003F2683"/>
    <w:rsid w:val="003F2920"/>
    <w:rsid w:val="003F3214"/>
    <w:rsid w:val="003F3652"/>
    <w:rsid w:val="003F4E28"/>
    <w:rsid w:val="004006E8"/>
    <w:rsid w:val="00401855"/>
    <w:rsid w:val="0040228D"/>
    <w:rsid w:val="0040378B"/>
    <w:rsid w:val="0040702D"/>
    <w:rsid w:val="00410B87"/>
    <w:rsid w:val="00412DA7"/>
    <w:rsid w:val="00413F2F"/>
    <w:rsid w:val="00414017"/>
    <w:rsid w:val="00420317"/>
    <w:rsid w:val="00420E2C"/>
    <w:rsid w:val="00424DE6"/>
    <w:rsid w:val="00427D3B"/>
    <w:rsid w:val="004322B3"/>
    <w:rsid w:val="00432BC9"/>
    <w:rsid w:val="00432BE2"/>
    <w:rsid w:val="004360EB"/>
    <w:rsid w:val="00441FD9"/>
    <w:rsid w:val="004433CF"/>
    <w:rsid w:val="0044406B"/>
    <w:rsid w:val="0044738E"/>
    <w:rsid w:val="00451660"/>
    <w:rsid w:val="00452280"/>
    <w:rsid w:val="00460A99"/>
    <w:rsid w:val="00461101"/>
    <w:rsid w:val="00463D4C"/>
    <w:rsid w:val="00465587"/>
    <w:rsid w:val="004657C7"/>
    <w:rsid w:val="00465C07"/>
    <w:rsid w:val="0046720C"/>
    <w:rsid w:val="0047086C"/>
    <w:rsid w:val="0047610A"/>
    <w:rsid w:val="00476C27"/>
    <w:rsid w:val="00477455"/>
    <w:rsid w:val="004779FB"/>
    <w:rsid w:val="00487060"/>
    <w:rsid w:val="004901A6"/>
    <w:rsid w:val="00490325"/>
    <w:rsid w:val="00490C92"/>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2EC3"/>
    <w:rsid w:val="004C3DCD"/>
    <w:rsid w:val="004C44D2"/>
    <w:rsid w:val="004D0C51"/>
    <w:rsid w:val="004D12EF"/>
    <w:rsid w:val="004D3578"/>
    <w:rsid w:val="004D380D"/>
    <w:rsid w:val="004D4335"/>
    <w:rsid w:val="004D6C16"/>
    <w:rsid w:val="004D6FD4"/>
    <w:rsid w:val="004D7B60"/>
    <w:rsid w:val="004E213A"/>
    <w:rsid w:val="004E4E09"/>
    <w:rsid w:val="004E5BB6"/>
    <w:rsid w:val="004F10E9"/>
    <w:rsid w:val="004F3ADA"/>
    <w:rsid w:val="004F4540"/>
    <w:rsid w:val="004F73A7"/>
    <w:rsid w:val="004F7C51"/>
    <w:rsid w:val="00501D49"/>
    <w:rsid w:val="00503171"/>
    <w:rsid w:val="00503CB5"/>
    <w:rsid w:val="00506C28"/>
    <w:rsid w:val="005075B6"/>
    <w:rsid w:val="00510BE0"/>
    <w:rsid w:val="00516A0D"/>
    <w:rsid w:val="00516FBC"/>
    <w:rsid w:val="00517034"/>
    <w:rsid w:val="005214BC"/>
    <w:rsid w:val="00527C31"/>
    <w:rsid w:val="00527F2A"/>
    <w:rsid w:val="00534DA0"/>
    <w:rsid w:val="00535EC5"/>
    <w:rsid w:val="00536A0E"/>
    <w:rsid w:val="00542000"/>
    <w:rsid w:val="00543E6C"/>
    <w:rsid w:val="00546C79"/>
    <w:rsid w:val="00547211"/>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91E74"/>
    <w:rsid w:val="0059328F"/>
    <w:rsid w:val="00593C4B"/>
    <w:rsid w:val="00594B6F"/>
    <w:rsid w:val="005957E1"/>
    <w:rsid w:val="00595AAB"/>
    <w:rsid w:val="00596097"/>
    <w:rsid w:val="00596B5D"/>
    <w:rsid w:val="005A49C6"/>
    <w:rsid w:val="005A4D6D"/>
    <w:rsid w:val="005A68D5"/>
    <w:rsid w:val="005A6CA2"/>
    <w:rsid w:val="005A7602"/>
    <w:rsid w:val="005B5565"/>
    <w:rsid w:val="005B598B"/>
    <w:rsid w:val="005C007C"/>
    <w:rsid w:val="005C0359"/>
    <w:rsid w:val="005C1A18"/>
    <w:rsid w:val="005C2F10"/>
    <w:rsid w:val="005C4665"/>
    <w:rsid w:val="005C5E13"/>
    <w:rsid w:val="005C64F2"/>
    <w:rsid w:val="005C78A8"/>
    <w:rsid w:val="005D1091"/>
    <w:rsid w:val="005D2171"/>
    <w:rsid w:val="005D2ED5"/>
    <w:rsid w:val="005D38C4"/>
    <w:rsid w:val="005D4207"/>
    <w:rsid w:val="005D6E49"/>
    <w:rsid w:val="005D725F"/>
    <w:rsid w:val="005E1600"/>
    <w:rsid w:val="005E28FB"/>
    <w:rsid w:val="005E47B2"/>
    <w:rsid w:val="005E4F98"/>
    <w:rsid w:val="005E5A63"/>
    <w:rsid w:val="005F0D6D"/>
    <w:rsid w:val="005F56A2"/>
    <w:rsid w:val="0060107D"/>
    <w:rsid w:val="00602F40"/>
    <w:rsid w:val="00603B63"/>
    <w:rsid w:val="00603D62"/>
    <w:rsid w:val="00604294"/>
    <w:rsid w:val="006048A8"/>
    <w:rsid w:val="00604D20"/>
    <w:rsid w:val="0060686C"/>
    <w:rsid w:val="00606E38"/>
    <w:rsid w:val="0061000C"/>
    <w:rsid w:val="00610FFB"/>
    <w:rsid w:val="00611566"/>
    <w:rsid w:val="00611868"/>
    <w:rsid w:val="0061201C"/>
    <w:rsid w:val="00613366"/>
    <w:rsid w:val="006150D4"/>
    <w:rsid w:val="006160D7"/>
    <w:rsid w:val="006206E3"/>
    <w:rsid w:val="00622FDA"/>
    <w:rsid w:val="0062410C"/>
    <w:rsid w:val="00624C07"/>
    <w:rsid w:val="0062582C"/>
    <w:rsid w:val="0062599C"/>
    <w:rsid w:val="00625B0A"/>
    <w:rsid w:val="00626AEC"/>
    <w:rsid w:val="00632396"/>
    <w:rsid w:val="00635845"/>
    <w:rsid w:val="00640307"/>
    <w:rsid w:val="00646D99"/>
    <w:rsid w:val="006504D6"/>
    <w:rsid w:val="006510E9"/>
    <w:rsid w:val="00652B9E"/>
    <w:rsid w:val="00653358"/>
    <w:rsid w:val="006541A1"/>
    <w:rsid w:val="00654596"/>
    <w:rsid w:val="00656910"/>
    <w:rsid w:val="00656E05"/>
    <w:rsid w:val="006574C0"/>
    <w:rsid w:val="00657CA6"/>
    <w:rsid w:val="0066096B"/>
    <w:rsid w:val="00670C14"/>
    <w:rsid w:val="00671D08"/>
    <w:rsid w:val="00672522"/>
    <w:rsid w:val="00674D79"/>
    <w:rsid w:val="0067758B"/>
    <w:rsid w:val="0067783E"/>
    <w:rsid w:val="00677F5B"/>
    <w:rsid w:val="00682BF2"/>
    <w:rsid w:val="006854C3"/>
    <w:rsid w:val="00690ED2"/>
    <w:rsid w:val="00694551"/>
    <w:rsid w:val="00694F59"/>
    <w:rsid w:val="00695FBA"/>
    <w:rsid w:val="00696821"/>
    <w:rsid w:val="006A19A8"/>
    <w:rsid w:val="006A1A2B"/>
    <w:rsid w:val="006A416F"/>
    <w:rsid w:val="006A4A4B"/>
    <w:rsid w:val="006B46F5"/>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2693"/>
    <w:rsid w:val="00705BC0"/>
    <w:rsid w:val="007069DC"/>
    <w:rsid w:val="00710201"/>
    <w:rsid w:val="007102CD"/>
    <w:rsid w:val="00710D4C"/>
    <w:rsid w:val="0071194B"/>
    <w:rsid w:val="00712781"/>
    <w:rsid w:val="007129D3"/>
    <w:rsid w:val="00713E60"/>
    <w:rsid w:val="007171D0"/>
    <w:rsid w:val="0072073A"/>
    <w:rsid w:val="00721D97"/>
    <w:rsid w:val="00723B0B"/>
    <w:rsid w:val="00725C33"/>
    <w:rsid w:val="0073133A"/>
    <w:rsid w:val="0073263B"/>
    <w:rsid w:val="00732B74"/>
    <w:rsid w:val="007342B5"/>
    <w:rsid w:val="0073449A"/>
    <w:rsid w:val="00734A5B"/>
    <w:rsid w:val="0073620F"/>
    <w:rsid w:val="00737B6B"/>
    <w:rsid w:val="00740C0A"/>
    <w:rsid w:val="00744E76"/>
    <w:rsid w:val="00745AC8"/>
    <w:rsid w:val="007469FD"/>
    <w:rsid w:val="0075287B"/>
    <w:rsid w:val="00753B28"/>
    <w:rsid w:val="00755CF3"/>
    <w:rsid w:val="00756E85"/>
    <w:rsid w:val="00757D40"/>
    <w:rsid w:val="00761926"/>
    <w:rsid w:val="007627D9"/>
    <w:rsid w:val="0076607C"/>
    <w:rsid w:val="007662B5"/>
    <w:rsid w:val="00774940"/>
    <w:rsid w:val="0077751F"/>
    <w:rsid w:val="007778A0"/>
    <w:rsid w:val="00781472"/>
    <w:rsid w:val="00781F0F"/>
    <w:rsid w:val="00782664"/>
    <w:rsid w:val="007831D3"/>
    <w:rsid w:val="0078534D"/>
    <w:rsid w:val="007864E8"/>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455"/>
    <w:rsid w:val="007F09F2"/>
    <w:rsid w:val="007F2D37"/>
    <w:rsid w:val="007F2E08"/>
    <w:rsid w:val="007F742E"/>
    <w:rsid w:val="007F7EC4"/>
    <w:rsid w:val="00800B57"/>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515E"/>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1728"/>
    <w:rsid w:val="00871D08"/>
    <w:rsid w:val="008732D6"/>
    <w:rsid w:val="00875EB1"/>
    <w:rsid w:val="008768CA"/>
    <w:rsid w:val="00877EF9"/>
    <w:rsid w:val="00880559"/>
    <w:rsid w:val="008818E2"/>
    <w:rsid w:val="00882533"/>
    <w:rsid w:val="008849F5"/>
    <w:rsid w:val="00890D75"/>
    <w:rsid w:val="00892166"/>
    <w:rsid w:val="00895A0B"/>
    <w:rsid w:val="00896CB6"/>
    <w:rsid w:val="008B5306"/>
    <w:rsid w:val="008B74AF"/>
    <w:rsid w:val="008C285A"/>
    <w:rsid w:val="008C2E2A"/>
    <w:rsid w:val="008C3057"/>
    <w:rsid w:val="008C3BA0"/>
    <w:rsid w:val="008C4E29"/>
    <w:rsid w:val="008C68EA"/>
    <w:rsid w:val="008C7DE0"/>
    <w:rsid w:val="008C7EF9"/>
    <w:rsid w:val="008D19D1"/>
    <w:rsid w:val="008D2E4D"/>
    <w:rsid w:val="008D3BA5"/>
    <w:rsid w:val="008D49D8"/>
    <w:rsid w:val="008D6817"/>
    <w:rsid w:val="008E0988"/>
    <w:rsid w:val="008E199E"/>
    <w:rsid w:val="008F391F"/>
    <w:rsid w:val="008F396F"/>
    <w:rsid w:val="008F3DCD"/>
    <w:rsid w:val="008F60D4"/>
    <w:rsid w:val="0090129C"/>
    <w:rsid w:val="00901D5C"/>
    <w:rsid w:val="0090271F"/>
    <w:rsid w:val="009027DA"/>
    <w:rsid w:val="00902DB9"/>
    <w:rsid w:val="00903709"/>
    <w:rsid w:val="0090466A"/>
    <w:rsid w:val="00907FE0"/>
    <w:rsid w:val="0091035F"/>
    <w:rsid w:val="00910B54"/>
    <w:rsid w:val="009139F6"/>
    <w:rsid w:val="00921E6D"/>
    <w:rsid w:val="0092209D"/>
    <w:rsid w:val="00923655"/>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5E64"/>
    <w:rsid w:val="00955FB6"/>
    <w:rsid w:val="0095778B"/>
    <w:rsid w:val="0096059F"/>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13B3"/>
    <w:rsid w:val="009928A9"/>
    <w:rsid w:val="009932BF"/>
    <w:rsid w:val="00995D8C"/>
    <w:rsid w:val="00997F2F"/>
    <w:rsid w:val="00997FAD"/>
    <w:rsid w:val="009A0AF3"/>
    <w:rsid w:val="009A2EEE"/>
    <w:rsid w:val="009A4931"/>
    <w:rsid w:val="009A5858"/>
    <w:rsid w:val="009B07CD"/>
    <w:rsid w:val="009B13FA"/>
    <w:rsid w:val="009B26F6"/>
    <w:rsid w:val="009B647D"/>
    <w:rsid w:val="009B6B5E"/>
    <w:rsid w:val="009C19E9"/>
    <w:rsid w:val="009C6D75"/>
    <w:rsid w:val="009D5A5D"/>
    <w:rsid w:val="009D7467"/>
    <w:rsid w:val="009D74A6"/>
    <w:rsid w:val="009D7615"/>
    <w:rsid w:val="009E0E87"/>
    <w:rsid w:val="009E55AC"/>
    <w:rsid w:val="009E7EC4"/>
    <w:rsid w:val="009F2CB9"/>
    <w:rsid w:val="009F445F"/>
    <w:rsid w:val="009F5806"/>
    <w:rsid w:val="00A00170"/>
    <w:rsid w:val="00A0066E"/>
    <w:rsid w:val="00A027CA"/>
    <w:rsid w:val="00A03496"/>
    <w:rsid w:val="00A07140"/>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57E"/>
    <w:rsid w:val="00A54B2B"/>
    <w:rsid w:val="00A54C46"/>
    <w:rsid w:val="00A54E74"/>
    <w:rsid w:val="00A60806"/>
    <w:rsid w:val="00A70362"/>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B7EC1"/>
    <w:rsid w:val="00AC1F4D"/>
    <w:rsid w:val="00AC507F"/>
    <w:rsid w:val="00AC6887"/>
    <w:rsid w:val="00AD3082"/>
    <w:rsid w:val="00AD6EC3"/>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1C3C"/>
    <w:rsid w:val="00B422C6"/>
    <w:rsid w:val="00B4636F"/>
    <w:rsid w:val="00B46556"/>
    <w:rsid w:val="00B46E85"/>
    <w:rsid w:val="00B47C49"/>
    <w:rsid w:val="00B47FD1"/>
    <w:rsid w:val="00B51007"/>
    <w:rsid w:val="00B516BB"/>
    <w:rsid w:val="00B51B95"/>
    <w:rsid w:val="00B53DBA"/>
    <w:rsid w:val="00B54FFC"/>
    <w:rsid w:val="00B55159"/>
    <w:rsid w:val="00B6002E"/>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38C0"/>
    <w:rsid w:val="00BA55D1"/>
    <w:rsid w:val="00BA56A5"/>
    <w:rsid w:val="00BB12BA"/>
    <w:rsid w:val="00BB1304"/>
    <w:rsid w:val="00BB1937"/>
    <w:rsid w:val="00BB1F15"/>
    <w:rsid w:val="00BB242A"/>
    <w:rsid w:val="00BB7251"/>
    <w:rsid w:val="00BB7C42"/>
    <w:rsid w:val="00BC0826"/>
    <w:rsid w:val="00BC1BC3"/>
    <w:rsid w:val="00BC2317"/>
    <w:rsid w:val="00BC32E4"/>
    <w:rsid w:val="00BC3555"/>
    <w:rsid w:val="00BD03E5"/>
    <w:rsid w:val="00BD2CE9"/>
    <w:rsid w:val="00BD5D0A"/>
    <w:rsid w:val="00BE034C"/>
    <w:rsid w:val="00BE07D3"/>
    <w:rsid w:val="00BE17AD"/>
    <w:rsid w:val="00BE2A19"/>
    <w:rsid w:val="00BE40FF"/>
    <w:rsid w:val="00BF14F3"/>
    <w:rsid w:val="00BF3CBC"/>
    <w:rsid w:val="00BF4333"/>
    <w:rsid w:val="00BF4969"/>
    <w:rsid w:val="00C00351"/>
    <w:rsid w:val="00C00512"/>
    <w:rsid w:val="00C04A27"/>
    <w:rsid w:val="00C11561"/>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F33"/>
    <w:rsid w:val="00C37615"/>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60D4"/>
    <w:rsid w:val="00C76A1A"/>
    <w:rsid w:val="00C76B6B"/>
    <w:rsid w:val="00C831CC"/>
    <w:rsid w:val="00C83895"/>
    <w:rsid w:val="00C83A13"/>
    <w:rsid w:val="00C844F8"/>
    <w:rsid w:val="00C86F10"/>
    <w:rsid w:val="00C9068C"/>
    <w:rsid w:val="00C91F36"/>
    <w:rsid w:val="00C920C6"/>
    <w:rsid w:val="00C92967"/>
    <w:rsid w:val="00C94794"/>
    <w:rsid w:val="00CA0FF2"/>
    <w:rsid w:val="00CA2A8B"/>
    <w:rsid w:val="00CA358C"/>
    <w:rsid w:val="00CA390E"/>
    <w:rsid w:val="00CA3D0C"/>
    <w:rsid w:val="00CA654B"/>
    <w:rsid w:val="00CA7092"/>
    <w:rsid w:val="00CB3154"/>
    <w:rsid w:val="00CB40C7"/>
    <w:rsid w:val="00CB4772"/>
    <w:rsid w:val="00CB72B8"/>
    <w:rsid w:val="00CC3C7A"/>
    <w:rsid w:val="00CC4132"/>
    <w:rsid w:val="00CC4645"/>
    <w:rsid w:val="00CC56CB"/>
    <w:rsid w:val="00CC653B"/>
    <w:rsid w:val="00CD0BA8"/>
    <w:rsid w:val="00CD14F3"/>
    <w:rsid w:val="00CD4948"/>
    <w:rsid w:val="00CD4C7B"/>
    <w:rsid w:val="00CD4F02"/>
    <w:rsid w:val="00CD58FE"/>
    <w:rsid w:val="00CE08D1"/>
    <w:rsid w:val="00CE1B38"/>
    <w:rsid w:val="00CE31BB"/>
    <w:rsid w:val="00CF1E1A"/>
    <w:rsid w:val="00CF4D95"/>
    <w:rsid w:val="00CF6820"/>
    <w:rsid w:val="00CF73D9"/>
    <w:rsid w:val="00D004AD"/>
    <w:rsid w:val="00D011CA"/>
    <w:rsid w:val="00D020FC"/>
    <w:rsid w:val="00D0378F"/>
    <w:rsid w:val="00D0507F"/>
    <w:rsid w:val="00D06125"/>
    <w:rsid w:val="00D06188"/>
    <w:rsid w:val="00D12DDB"/>
    <w:rsid w:val="00D17225"/>
    <w:rsid w:val="00D1769D"/>
    <w:rsid w:val="00D24C0D"/>
    <w:rsid w:val="00D33BE3"/>
    <w:rsid w:val="00D35DEB"/>
    <w:rsid w:val="00D36C63"/>
    <w:rsid w:val="00D3792D"/>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8D6"/>
    <w:rsid w:val="00D75219"/>
    <w:rsid w:val="00D80795"/>
    <w:rsid w:val="00D843A6"/>
    <w:rsid w:val="00D854BE"/>
    <w:rsid w:val="00D87009"/>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309B"/>
    <w:rsid w:val="00DC3ED9"/>
    <w:rsid w:val="00DC4DA2"/>
    <w:rsid w:val="00DC5261"/>
    <w:rsid w:val="00DC6A61"/>
    <w:rsid w:val="00DC75FA"/>
    <w:rsid w:val="00DD3480"/>
    <w:rsid w:val="00DD5188"/>
    <w:rsid w:val="00DD5D4C"/>
    <w:rsid w:val="00DD64BE"/>
    <w:rsid w:val="00DD76C2"/>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4C00"/>
    <w:rsid w:val="00E26122"/>
    <w:rsid w:val="00E262F2"/>
    <w:rsid w:val="00E271EB"/>
    <w:rsid w:val="00E337F6"/>
    <w:rsid w:val="00E37E4F"/>
    <w:rsid w:val="00E41B53"/>
    <w:rsid w:val="00E4283F"/>
    <w:rsid w:val="00E45739"/>
    <w:rsid w:val="00E46C08"/>
    <w:rsid w:val="00E471CF"/>
    <w:rsid w:val="00E47979"/>
    <w:rsid w:val="00E5433E"/>
    <w:rsid w:val="00E609A3"/>
    <w:rsid w:val="00E62835"/>
    <w:rsid w:val="00E62BC9"/>
    <w:rsid w:val="00E66ABA"/>
    <w:rsid w:val="00E67116"/>
    <w:rsid w:val="00E7096B"/>
    <w:rsid w:val="00E74E5E"/>
    <w:rsid w:val="00E76044"/>
    <w:rsid w:val="00E766EC"/>
    <w:rsid w:val="00E77645"/>
    <w:rsid w:val="00E82625"/>
    <w:rsid w:val="00E83697"/>
    <w:rsid w:val="00E83852"/>
    <w:rsid w:val="00E859B6"/>
    <w:rsid w:val="00E8654C"/>
    <w:rsid w:val="00E86809"/>
    <w:rsid w:val="00E86D6D"/>
    <w:rsid w:val="00E9103A"/>
    <w:rsid w:val="00E9509D"/>
    <w:rsid w:val="00E96CD0"/>
    <w:rsid w:val="00E96F95"/>
    <w:rsid w:val="00EA12F9"/>
    <w:rsid w:val="00EA3E27"/>
    <w:rsid w:val="00EA5A15"/>
    <w:rsid w:val="00EA66C9"/>
    <w:rsid w:val="00EA6F9D"/>
    <w:rsid w:val="00EA715F"/>
    <w:rsid w:val="00EB06B2"/>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40AC"/>
    <w:rsid w:val="00ED6022"/>
    <w:rsid w:val="00EE00AC"/>
    <w:rsid w:val="00EE297D"/>
    <w:rsid w:val="00EE4F7D"/>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073A"/>
    <w:rsid w:val="00F2173A"/>
    <w:rsid w:val="00F2210A"/>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521FD"/>
    <w:rsid w:val="00F52DE9"/>
    <w:rsid w:val="00F54A3D"/>
    <w:rsid w:val="00F54CB0"/>
    <w:rsid w:val="00F571A8"/>
    <w:rsid w:val="00F579CD"/>
    <w:rsid w:val="00F633B4"/>
    <w:rsid w:val="00F653B8"/>
    <w:rsid w:val="00F701EF"/>
    <w:rsid w:val="00F71B89"/>
    <w:rsid w:val="00F7353C"/>
    <w:rsid w:val="00F74440"/>
    <w:rsid w:val="00F758D2"/>
    <w:rsid w:val="00F76F8F"/>
    <w:rsid w:val="00F77B35"/>
    <w:rsid w:val="00F77CC7"/>
    <w:rsid w:val="00F77EE4"/>
    <w:rsid w:val="00F824FC"/>
    <w:rsid w:val="00F83C4F"/>
    <w:rsid w:val="00F84D86"/>
    <w:rsid w:val="00F941DF"/>
    <w:rsid w:val="00F975E4"/>
    <w:rsid w:val="00FA1266"/>
    <w:rsid w:val="00FA2071"/>
    <w:rsid w:val="00FA2589"/>
    <w:rsid w:val="00FA2FC5"/>
    <w:rsid w:val="00FA3BA9"/>
    <w:rsid w:val="00FA44AE"/>
    <w:rsid w:val="00FA5E31"/>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A57"/>
    <w:rsid w:val="00FD6EDB"/>
    <w:rsid w:val="00FE106D"/>
    <w:rsid w:val="00FE251B"/>
    <w:rsid w:val="00FE40A6"/>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CD4A-63E9-49D1-A054-08E556B6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2602</Words>
  <Characters>16657</Characters>
  <Application>Microsoft Office Word</Application>
  <DocSecurity>0</DocSecurity>
  <Lines>462</Lines>
  <Paragraphs>296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2022-11-01T14:44:00Z</dcterms:created>
  <dcterms:modified xsi:type="dcterms:W3CDTF">2022-11-04T05:09:00Z</dcterms:modified>
  <cp:category/>
</cp:coreProperties>
</file>